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77B2" w14:textId="598CC58C" w:rsidR="00C53711" w:rsidRDefault="000E03D3">
      <w:pPr>
        <w:pStyle w:val="BodyText"/>
        <w:rPr>
          <w:rFonts w:ascii="Times New Roman"/>
          <w:sz w:val="20"/>
        </w:rPr>
      </w:pPr>
      <w:r>
        <w:rPr>
          <w:rFonts w:ascii="Times New Roman"/>
          <w:sz w:val="20"/>
        </w:rPr>
        <w:t xml:space="preserve"> </w:t>
      </w:r>
    </w:p>
    <w:p w14:paraId="5BACB178" w14:textId="77777777" w:rsidR="00C53711" w:rsidRDefault="00C53711">
      <w:pPr>
        <w:pStyle w:val="BodyText"/>
        <w:spacing w:before="6"/>
        <w:rPr>
          <w:rFonts w:ascii="Times New Roman"/>
          <w:sz w:val="28"/>
        </w:rPr>
      </w:pPr>
    </w:p>
    <w:p w14:paraId="0B211F37" w14:textId="77777777" w:rsidR="00C53711" w:rsidRDefault="0092529C">
      <w:pPr>
        <w:spacing w:before="28"/>
        <w:ind w:left="220"/>
        <w:rPr>
          <w:b/>
          <w:sz w:val="36"/>
        </w:rPr>
      </w:pPr>
      <w:r>
        <w:rPr>
          <w:b/>
          <w:sz w:val="36"/>
        </w:rPr>
        <w:t>Contents</w:t>
      </w:r>
    </w:p>
    <w:p w14:paraId="685FDC3D" w14:textId="51387015" w:rsidR="00403486" w:rsidRDefault="0092529C">
      <w:pPr>
        <w:pStyle w:val="TOC1"/>
        <w:tabs>
          <w:tab w:val="right" w:leader="dot" w:pos="1087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62558752" w:history="1">
        <w:r w:rsidR="00403486" w:rsidRPr="00F11F80">
          <w:rPr>
            <w:rStyle w:val="Hyperlink"/>
            <w:noProof/>
          </w:rPr>
          <w:t>Introduction</w:t>
        </w:r>
        <w:r w:rsidR="00403486">
          <w:rPr>
            <w:noProof/>
            <w:webHidden/>
          </w:rPr>
          <w:tab/>
        </w:r>
        <w:r w:rsidR="00403486">
          <w:rPr>
            <w:noProof/>
            <w:webHidden/>
          </w:rPr>
          <w:fldChar w:fldCharType="begin"/>
        </w:r>
        <w:r w:rsidR="00403486">
          <w:rPr>
            <w:noProof/>
            <w:webHidden/>
          </w:rPr>
          <w:instrText xml:space="preserve"> PAGEREF _Toc62558752 \h </w:instrText>
        </w:r>
        <w:r w:rsidR="00403486">
          <w:rPr>
            <w:noProof/>
            <w:webHidden/>
          </w:rPr>
        </w:r>
        <w:r w:rsidR="00403486">
          <w:rPr>
            <w:noProof/>
            <w:webHidden/>
          </w:rPr>
          <w:fldChar w:fldCharType="separate"/>
        </w:r>
        <w:r w:rsidR="00403486">
          <w:rPr>
            <w:noProof/>
            <w:webHidden/>
          </w:rPr>
          <w:t>1</w:t>
        </w:r>
        <w:r w:rsidR="00403486">
          <w:rPr>
            <w:noProof/>
            <w:webHidden/>
          </w:rPr>
          <w:fldChar w:fldCharType="end"/>
        </w:r>
      </w:hyperlink>
    </w:p>
    <w:p w14:paraId="409110F6" w14:textId="72925D2D"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3" w:history="1">
        <w:r w:rsidR="00403486" w:rsidRPr="00F11F80">
          <w:rPr>
            <w:rStyle w:val="Hyperlink"/>
            <w:noProof/>
          </w:rPr>
          <w:t>Commercial Requirements</w:t>
        </w:r>
        <w:r w:rsidR="00403486">
          <w:rPr>
            <w:noProof/>
            <w:webHidden/>
          </w:rPr>
          <w:tab/>
        </w:r>
        <w:r w:rsidR="00403486">
          <w:rPr>
            <w:noProof/>
            <w:webHidden/>
          </w:rPr>
          <w:fldChar w:fldCharType="begin"/>
        </w:r>
        <w:r w:rsidR="00403486">
          <w:rPr>
            <w:noProof/>
            <w:webHidden/>
          </w:rPr>
          <w:instrText xml:space="preserve"> PAGEREF _Toc62558753 \h </w:instrText>
        </w:r>
        <w:r w:rsidR="00403486">
          <w:rPr>
            <w:noProof/>
            <w:webHidden/>
          </w:rPr>
        </w:r>
        <w:r w:rsidR="00403486">
          <w:rPr>
            <w:noProof/>
            <w:webHidden/>
          </w:rPr>
          <w:fldChar w:fldCharType="separate"/>
        </w:r>
        <w:r w:rsidR="00403486">
          <w:rPr>
            <w:noProof/>
            <w:webHidden/>
          </w:rPr>
          <w:t>2</w:t>
        </w:r>
        <w:r w:rsidR="00403486">
          <w:rPr>
            <w:noProof/>
            <w:webHidden/>
          </w:rPr>
          <w:fldChar w:fldCharType="end"/>
        </w:r>
      </w:hyperlink>
    </w:p>
    <w:p w14:paraId="1844906D" w14:textId="2EED3154"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4" w:history="1">
        <w:r w:rsidR="00403486" w:rsidRPr="00F11F80">
          <w:rPr>
            <w:rStyle w:val="Hyperlink"/>
            <w:noProof/>
          </w:rPr>
          <w:t>Onboarding Requirements per Work Type</w:t>
        </w:r>
        <w:r w:rsidR="00403486">
          <w:rPr>
            <w:noProof/>
            <w:webHidden/>
          </w:rPr>
          <w:tab/>
        </w:r>
        <w:r w:rsidR="00403486">
          <w:rPr>
            <w:noProof/>
            <w:webHidden/>
          </w:rPr>
          <w:fldChar w:fldCharType="begin"/>
        </w:r>
        <w:r w:rsidR="00403486">
          <w:rPr>
            <w:noProof/>
            <w:webHidden/>
          </w:rPr>
          <w:instrText xml:space="preserve"> PAGEREF _Toc62558754 \h </w:instrText>
        </w:r>
        <w:r w:rsidR="00403486">
          <w:rPr>
            <w:noProof/>
            <w:webHidden/>
          </w:rPr>
        </w:r>
        <w:r w:rsidR="00403486">
          <w:rPr>
            <w:noProof/>
            <w:webHidden/>
          </w:rPr>
          <w:fldChar w:fldCharType="separate"/>
        </w:r>
        <w:r w:rsidR="00403486">
          <w:rPr>
            <w:noProof/>
            <w:webHidden/>
          </w:rPr>
          <w:t>2</w:t>
        </w:r>
        <w:r w:rsidR="00403486">
          <w:rPr>
            <w:noProof/>
            <w:webHidden/>
          </w:rPr>
          <w:fldChar w:fldCharType="end"/>
        </w:r>
      </w:hyperlink>
    </w:p>
    <w:p w14:paraId="19655E05" w14:textId="18DD7CE3"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5" w:history="1">
        <w:r w:rsidR="00403486" w:rsidRPr="00F11F80">
          <w:rPr>
            <w:rStyle w:val="Hyperlink"/>
            <w:noProof/>
          </w:rPr>
          <w:t>ISNetworld Participation</w:t>
        </w:r>
        <w:r w:rsidR="00403486">
          <w:rPr>
            <w:noProof/>
            <w:webHidden/>
          </w:rPr>
          <w:tab/>
        </w:r>
        <w:r w:rsidR="00403486">
          <w:rPr>
            <w:noProof/>
            <w:webHidden/>
          </w:rPr>
          <w:fldChar w:fldCharType="begin"/>
        </w:r>
        <w:r w:rsidR="00403486">
          <w:rPr>
            <w:noProof/>
            <w:webHidden/>
          </w:rPr>
          <w:instrText xml:space="preserve"> PAGEREF _Toc62558755 \h </w:instrText>
        </w:r>
        <w:r w:rsidR="00403486">
          <w:rPr>
            <w:noProof/>
            <w:webHidden/>
          </w:rPr>
        </w:r>
        <w:r w:rsidR="00403486">
          <w:rPr>
            <w:noProof/>
            <w:webHidden/>
          </w:rPr>
          <w:fldChar w:fldCharType="separate"/>
        </w:r>
        <w:r w:rsidR="00403486">
          <w:rPr>
            <w:noProof/>
            <w:webHidden/>
          </w:rPr>
          <w:t>3</w:t>
        </w:r>
        <w:r w:rsidR="00403486">
          <w:rPr>
            <w:noProof/>
            <w:webHidden/>
          </w:rPr>
          <w:fldChar w:fldCharType="end"/>
        </w:r>
      </w:hyperlink>
    </w:p>
    <w:p w14:paraId="60D4B709" w14:textId="70A4CCA0"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6" w:history="1">
        <w:r w:rsidR="00403486" w:rsidRPr="00F11F80">
          <w:rPr>
            <w:rStyle w:val="Hyperlink"/>
            <w:noProof/>
          </w:rPr>
          <w:t>Drug and Alcohol Screening, and Background Checks</w:t>
        </w:r>
        <w:r w:rsidR="00403486">
          <w:rPr>
            <w:noProof/>
            <w:webHidden/>
          </w:rPr>
          <w:tab/>
        </w:r>
        <w:r w:rsidR="00403486">
          <w:rPr>
            <w:noProof/>
            <w:webHidden/>
          </w:rPr>
          <w:fldChar w:fldCharType="begin"/>
        </w:r>
        <w:r w:rsidR="00403486">
          <w:rPr>
            <w:noProof/>
            <w:webHidden/>
          </w:rPr>
          <w:instrText xml:space="preserve"> PAGEREF _Toc62558756 \h </w:instrText>
        </w:r>
        <w:r w:rsidR="00403486">
          <w:rPr>
            <w:noProof/>
            <w:webHidden/>
          </w:rPr>
        </w:r>
        <w:r w:rsidR="00403486">
          <w:rPr>
            <w:noProof/>
            <w:webHidden/>
          </w:rPr>
          <w:fldChar w:fldCharType="separate"/>
        </w:r>
        <w:r w:rsidR="00403486">
          <w:rPr>
            <w:noProof/>
            <w:webHidden/>
          </w:rPr>
          <w:t>4</w:t>
        </w:r>
        <w:r w:rsidR="00403486">
          <w:rPr>
            <w:noProof/>
            <w:webHidden/>
          </w:rPr>
          <w:fldChar w:fldCharType="end"/>
        </w:r>
      </w:hyperlink>
    </w:p>
    <w:p w14:paraId="5B7ED093" w14:textId="6573C327"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7" w:history="1">
        <w:r w:rsidR="00403486" w:rsidRPr="00F11F80">
          <w:rPr>
            <w:rStyle w:val="Hyperlink"/>
            <w:noProof/>
          </w:rPr>
          <w:t>Tang &amp; Company Participation</w:t>
        </w:r>
        <w:r w:rsidR="00403486">
          <w:rPr>
            <w:noProof/>
            <w:webHidden/>
          </w:rPr>
          <w:tab/>
        </w:r>
        <w:r w:rsidR="00403486">
          <w:rPr>
            <w:noProof/>
            <w:webHidden/>
          </w:rPr>
          <w:fldChar w:fldCharType="begin"/>
        </w:r>
        <w:r w:rsidR="00403486">
          <w:rPr>
            <w:noProof/>
            <w:webHidden/>
          </w:rPr>
          <w:instrText xml:space="preserve"> PAGEREF _Toc62558757 \h </w:instrText>
        </w:r>
        <w:r w:rsidR="00403486">
          <w:rPr>
            <w:noProof/>
            <w:webHidden/>
          </w:rPr>
        </w:r>
        <w:r w:rsidR="00403486">
          <w:rPr>
            <w:noProof/>
            <w:webHidden/>
          </w:rPr>
          <w:fldChar w:fldCharType="separate"/>
        </w:r>
        <w:r w:rsidR="00403486">
          <w:rPr>
            <w:noProof/>
            <w:webHidden/>
          </w:rPr>
          <w:t>4</w:t>
        </w:r>
        <w:r w:rsidR="00403486">
          <w:rPr>
            <w:noProof/>
            <w:webHidden/>
          </w:rPr>
          <w:fldChar w:fldCharType="end"/>
        </w:r>
      </w:hyperlink>
    </w:p>
    <w:p w14:paraId="2B147E5B" w14:textId="7B659B94"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8" w:history="1">
        <w:r w:rsidR="00403486" w:rsidRPr="00F11F80">
          <w:rPr>
            <w:rStyle w:val="Hyperlink"/>
            <w:noProof/>
          </w:rPr>
          <w:t>DISA Global Solutions Participation</w:t>
        </w:r>
        <w:r w:rsidR="00403486">
          <w:rPr>
            <w:noProof/>
            <w:webHidden/>
          </w:rPr>
          <w:tab/>
        </w:r>
        <w:r w:rsidR="00403486">
          <w:rPr>
            <w:noProof/>
            <w:webHidden/>
          </w:rPr>
          <w:fldChar w:fldCharType="begin"/>
        </w:r>
        <w:r w:rsidR="00403486">
          <w:rPr>
            <w:noProof/>
            <w:webHidden/>
          </w:rPr>
          <w:instrText xml:space="preserve"> PAGEREF _Toc62558758 \h </w:instrText>
        </w:r>
        <w:r w:rsidR="00403486">
          <w:rPr>
            <w:noProof/>
            <w:webHidden/>
          </w:rPr>
        </w:r>
        <w:r w:rsidR="00403486">
          <w:rPr>
            <w:noProof/>
            <w:webHidden/>
          </w:rPr>
          <w:fldChar w:fldCharType="separate"/>
        </w:r>
        <w:r w:rsidR="00403486">
          <w:rPr>
            <w:noProof/>
            <w:webHidden/>
          </w:rPr>
          <w:t>4</w:t>
        </w:r>
        <w:r w:rsidR="00403486">
          <w:rPr>
            <w:noProof/>
            <w:webHidden/>
          </w:rPr>
          <w:fldChar w:fldCharType="end"/>
        </w:r>
      </w:hyperlink>
    </w:p>
    <w:p w14:paraId="4C403290" w14:textId="199AC69D"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59" w:history="1">
        <w:r w:rsidR="00403486" w:rsidRPr="00F11F80">
          <w:rPr>
            <w:rStyle w:val="Hyperlink"/>
            <w:noProof/>
          </w:rPr>
          <w:t>Contract Company Safety Representative</w:t>
        </w:r>
        <w:r w:rsidR="00403486">
          <w:rPr>
            <w:noProof/>
            <w:webHidden/>
          </w:rPr>
          <w:tab/>
        </w:r>
        <w:r w:rsidR="00403486">
          <w:rPr>
            <w:noProof/>
            <w:webHidden/>
          </w:rPr>
          <w:fldChar w:fldCharType="begin"/>
        </w:r>
        <w:r w:rsidR="00403486">
          <w:rPr>
            <w:noProof/>
            <w:webHidden/>
          </w:rPr>
          <w:instrText xml:space="preserve"> PAGEREF _Toc62558759 \h </w:instrText>
        </w:r>
        <w:r w:rsidR="00403486">
          <w:rPr>
            <w:noProof/>
            <w:webHidden/>
          </w:rPr>
        </w:r>
        <w:r w:rsidR="00403486">
          <w:rPr>
            <w:noProof/>
            <w:webHidden/>
          </w:rPr>
          <w:fldChar w:fldCharType="separate"/>
        </w:r>
        <w:r w:rsidR="00403486">
          <w:rPr>
            <w:noProof/>
            <w:webHidden/>
          </w:rPr>
          <w:t>4</w:t>
        </w:r>
        <w:r w:rsidR="00403486">
          <w:rPr>
            <w:noProof/>
            <w:webHidden/>
          </w:rPr>
          <w:fldChar w:fldCharType="end"/>
        </w:r>
      </w:hyperlink>
    </w:p>
    <w:p w14:paraId="55E09F6B" w14:textId="12146C6D"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0" w:history="1">
        <w:r w:rsidR="00403486" w:rsidRPr="00F11F80">
          <w:rPr>
            <w:rStyle w:val="Hyperlink"/>
            <w:noProof/>
          </w:rPr>
          <w:t>Drug and Alcohol Screening</w:t>
        </w:r>
        <w:r w:rsidR="00403486">
          <w:rPr>
            <w:noProof/>
            <w:webHidden/>
          </w:rPr>
          <w:tab/>
        </w:r>
        <w:r w:rsidR="00403486">
          <w:rPr>
            <w:noProof/>
            <w:webHidden/>
          </w:rPr>
          <w:fldChar w:fldCharType="begin"/>
        </w:r>
        <w:r w:rsidR="00403486">
          <w:rPr>
            <w:noProof/>
            <w:webHidden/>
          </w:rPr>
          <w:instrText xml:space="preserve"> PAGEREF _Toc62558760 \h </w:instrText>
        </w:r>
        <w:r w:rsidR="00403486">
          <w:rPr>
            <w:noProof/>
            <w:webHidden/>
          </w:rPr>
        </w:r>
        <w:r w:rsidR="00403486">
          <w:rPr>
            <w:noProof/>
            <w:webHidden/>
          </w:rPr>
          <w:fldChar w:fldCharType="separate"/>
        </w:r>
        <w:r w:rsidR="00403486">
          <w:rPr>
            <w:noProof/>
            <w:webHidden/>
          </w:rPr>
          <w:t>6</w:t>
        </w:r>
        <w:r w:rsidR="00403486">
          <w:rPr>
            <w:noProof/>
            <w:webHidden/>
          </w:rPr>
          <w:fldChar w:fldCharType="end"/>
        </w:r>
      </w:hyperlink>
    </w:p>
    <w:p w14:paraId="2550B54C" w14:textId="35AC6C67"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1" w:history="1">
        <w:r w:rsidR="00403486" w:rsidRPr="00F11F80">
          <w:rPr>
            <w:rStyle w:val="Hyperlink"/>
            <w:noProof/>
          </w:rPr>
          <w:t>Background Checks</w:t>
        </w:r>
        <w:r w:rsidR="00403486">
          <w:rPr>
            <w:noProof/>
            <w:webHidden/>
          </w:rPr>
          <w:tab/>
        </w:r>
        <w:r w:rsidR="00403486">
          <w:rPr>
            <w:noProof/>
            <w:webHidden/>
          </w:rPr>
          <w:fldChar w:fldCharType="begin"/>
        </w:r>
        <w:r w:rsidR="00403486">
          <w:rPr>
            <w:noProof/>
            <w:webHidden/>
          </w:rPr>
          <w:instrText xml:space="preserve"> PAGEREF _Toc62558761 \h </w:instrText>
        </w:r>
        <w:r w:rsidR="00403486">
          <w:rPr>
            <w:noProof/>
            <w:webHidden/>
          </w:rPr>
        </w:r>
        <w:r w:rsidR="00403486">
          <w:rPr>
            <w:noProof/>
            <w:webHidden/>
          </w:rPr>
          <w:fldChar w:fldCharType="separate"/>
        </w:r>
        <w:r w:rsidR="00403486">
          <w:rPr>
            <w:noProof/>
            <w:webHidden/>
          </w:rPr>
          <w:t>6</w:t>
        </w:r>
        <w:r w:rsidR="00403486">
          <w:rPr>
            <w:noProof/>
            <w:webHidden/>
          </w:rPr>
          <w:fldChar w:fldCharType="end"/>
        </w:r>
      </w:hyperlink>
    </w:p>
    <w:p w14:paraId="2447EDE4" w14:textId="0DCB9F1D"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2" w:history="1">
        <w:r w:rsidR="00403486" w:rsidRPr="00F11F80">
          <w:rPr>
            <w:rStyle w:val="Hyperlink"/>
            <w:noProof/>
          </w:rPr>
          <w:t>Training Requirements</w:t>
        </w:r>
        <w:r w:rsidR="00403486">
          <w:rPr>
            <w:noProof/>
            <w:webHidden/>
          </w:rPr>
          <w:tab/>
        </w:r>
        <w:r w:rsidR="00403486">
          <w:rPr>
            <w:noProof/>
            <w:webHidden/>
          </w:rPr>
          <w:fldChar w:fldCharType="begin"/>
        </w:r>
        <w:r w:rsidR="00403486">
          <w:rPr>
            <w:noProof/>
            <w:webHidden/>
          </w:rPr>
          <w:instrText xml:space="preserve"> PAGEREF _Toc62558762 \h </w:instrText>
        </w:r>
        <w:r w:rsidR="00403486">
          <w:rPr>
            <w:noProof/>
            <w:webHidden/>
          </w:rPr>
        </w:r>
        <w:r w:rsidR="00403486">
          <w:rPr>
            <w:noProof/>
            <w:webHidden/>
          </w:rPr>
          <w:fldChar w:fldCharType="separate"/>
        </w:r>
        <w:r w:rsidR="00403486">
          <w:rPr>
            <w:noProof/>
            <w:webHidden/>
          </w:rPr>
          <w:t>7</w:t>
        </w:r>
        <w:r w:rsidR="00403486">
          <w:rPr>
            <w:noProof/>
            <w:webHidden/>
          </w:rPr>
          <w:fldChar w:fldCharType="end"/>
        </w:r>
      </w:hyperlink>
    </w:p>
    <w:p w14:paraId="767E1007" w14:textId="01122370"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3" w:history="1">
        <w:r w:rsidR="00403486" w:rsidRPr="00F11F80">
          <w:rPr>
            <w:rStyle w:val="Hyperlink"/>
            <w:noProof/>
          </w:rPr>
          <w:t>Vehicle Authorization and Liability</w:t>
        </w:r>
        <w:r w:rsidR="00403486">
          <w:rPr>
            <w:noProof/>
            <w:webHidden/>
          </w:rPr>
          <w:tab/>
        </w:r>
        <w:r w:rsidR="00403486">
          <w:rPr>
            <w:noProof/>
            <w:webHidden/>
          </w:rPr>
          <w:fldChar w:fldCharType="begin"/>
        </w:r>
        <w:r w:rsidR="00403486">
          <w:rPr>
            <w:noProof/>
            <w:webHidden/>
          </w:rPr>
          <w:instrText xml:space="preserve"> PAGEREF _Toc62558763 \h </w:instrText>
        </w:r>
        <w:r w:rsidR="00403486">
          <w:rPr>
            <w:noProof/>
            <w:webHidden/>
          </w:rPr>
        </w:r>
        <w:r w:rsidR="00403486">
          <w:rPr>
            <w:noProof/>
            <w:webHidden/>
          </w:rPr>
          <w:fldChar w:fldCharType="separate"/>
        </w:r>
        <w:r w:rsidR="00403486">
          <w:rPr>
            <w:noProof/>
            <w:webHidden/>
          </w:rPr>
          <w:t>8</w:t>
        </w:r>
        <w:r w:rsidR="00403486">
          <w:rPr>
            <w:noProof/>
            <w:webHidden/>
          </w:rPr>
          <w:fldChar w:fldCharType="end"/>
        </w:r>
      </w:hyperlink>
    </w:p>
    <w:p w14:paraId="5D39D254" w14:textId="74675889"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4" w:history="1">
        <w:r w:rsidR="00403486" w:rsidRPr="00F11F80">
          <w:rPr>
            <w:rStyle w:val="Hyperlink"/>
            <w:noProof/>
          </w:rPr>
          <w:t>Access Badge Requests</w:t>
        </w:r>
        <w:r w:rsidR="00403486">
          <w:rPr>
            <w:noProof/>
            <w:webHidden/>
          </w:rPr>
          <w:tab/>
        </w:r>
        <w:r w:rsidR="00403486">
          <w:rPr>
            <w:noProof/>
            <w:webHidden/>
          </w:rPr>
          <w:fldChar w:fldCharType="begin"/>
        </w:r>
        <w:r w:rsidR="00403486">
          <w:rPr>
            <w:noProof/>
            <w:webHidden/>
          </w:rPr>
          <w:instrText xml:space="preserve"> PAGEREF _Toc62558764 \h </w:instrText>
        </w:r>
        <w:r w:rsidR="00403486">
          <w:rPr>
            <w:noProof/>
            <w:webHidden/>
          </w:rPr>
        </w:r>
        <w:r w:rsidR="00403486">
          <w:rPr>
            <w:noProof/>
            <w:webHidden/>
          </w:rPr>
          <w:fldChar w:fldCharType="separate"/>
        </w:r>
        <w:r w:rsidR="00403486">
          <w:rPr>
            <w:noProof/>
            <w:webHidden/>
          </w:rPr>
          <w:t>8</w:t>
        </w:r>
        <w:r w:rsidR="00403486">
          <w:rPr>
            <w:noProof/>
            <w:webHidden/>
          </w:rPr>
          <w:fldChar w:fldCharType="end"/>
        </w:r>
      </w:hyperlink>
    </w:p>
    <w:p w14:paraId="0E46CF0A" w14:textId="0BBCEDA5"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5" w:history="1">
        <w:r w:rsidR="00403486" w:rsidRPr="00F11F80">
          <w:rPr>
            <w:rStyle w:val="Hyperlink"/>
            <w:noProof/>
          </w:rPr>
          <w:t>Escorting</w:t>
        </w:r>
        <w:r w:rsidR="00403486">
          <w:rPr>
            <w:noProof/>
            <w:webHidden/>
          </w:rPr>
          <w:tab/>
        </w:r>
        <w:r w:rsidR="00403486">
          <w:rPr>
            <w:noProof/>
            <w:webHidden/>
          </w:rPr>
          <w:fldChar w:fldCharType="begin"/>
        </w:r>
        <w:r w:rsidR="00403486">
          <w:rPr>
            <w:noProof/>
            <w:webHidden/>
          </w:rPr>
          <w:instrText xml:space="preserve"> PAGEREF _Toc62558765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4D816309" w14:textId="6B09EB62"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6" w:history="1">
        <w:r w:rsidR="00403486" w:rsidRPr="00F11F80">
          <w:rPr>
            <w:rStyle w:val="Hyperlink"/>
            <w:noProof/>
          </w:rPr>
          <w:t>Facility Siting</w:t>
        </w:r>
        <w:r w:rsidR="00403486">
          <w:rPr>
            <w:noProof/>
            <w:webHidden/>
          </w:rPr>
          <w:tab/>
        </w:r>
        <w:r w:rsidR="00403486">
          <w:rPr>
            <w:noProof/>
            <w:webHidden/>
          </w:rPr>
          <w:fldChar w:fldCharType="begin"/>
        </w:r>
        <w:r w:rsidR="00403486">
          <w:rPr>
            <w:noProof/>
            <w:webHidden/>
          </w:rPr>
          <w:instrText xml:space="preserve"> PAGEREF _Toc62558766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77C13725" w14:textId="36EF5D9C"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7" w:history="1">
        <w:r w:rsidR="00403486" w:rsidRPr="00F11F80">
          <w:rPr>
            <w:rStyle w:val="Hyperlink"/>
            <w:noProof/>
          </w:rPr>
          <w:t>Hazard Communication</w:t>
        </w:r>
        <w:r w:rsidR="00403486">
          <w:rPr>
            <w:noProof/>
            <w:webHidden/>
          </w:rPr>
          <w:tab/>
        </w:r>
        <w:r w:rsidR="00403486">
          <w:rPr>
            <w:noProof/>
            <w:webHidden/>
          </w:rPr>
          <w:fldChar w:fldCharType="begin"/>
        </w:r>
        <w:r w:rsidR="00403486">
          <w:rPr>
            <w:noProof/>
            <w:webHidden/>
          </w:rPr>
          <w:instrText xml:space="preserve"> PAGEREF _Toc62558767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4A6D6F57" w14:textId="31CCE1F8"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8" w:history="1">
        <w:r w:rsidR="00403486" w:rsidRPr="00F11F80">
          <w:rPr>
            <w:rStyle w:val="Hyperlink"/>
            <w:noProof/>
          </w:rPr>
          <w:t>Personal Protective Equipment (PPE)</w:t>
        </w:r>
        <w:r w:rsidR="00403486">
          <w:rPr>
            <w:noProof/>
            <w:webHidden/>
          </w:rPr>
          <w:tab/>
        </w:r>
        <w:r w:rsidR="00403486">
          <w:rPr>
            <w:noProof/>
            <w:webHidden/>
          </w:rPr>
          <w:fldChar w:fldCharType="begin"/>
        </w:r>
        <w:r w:rsidR="00403486">
          <w:rPr>
            <w:noProof/>
            <w:webHidden/>
          </w:rPr>
          <w:instrText xml:space="preserve"> PAGEREF _Toc62558768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635541D5" w14:textId="135F6880"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69" w:history="1">
        <w:r w:rsidR="00403486" w:rsidRPr="00F11F80">
          <w:rPr>
            <w:rStyle w:val="Hyperlink"/>
            <w:noProof/>
          </w:rPr>
          <w:t>Refinery Rules, Standards and Standing Instructions (RSSI)</w:t>
        </w:r>
        <w:r w:rsidR="00403486">
          <w:rPr>
            <w:noProof/>
            <w:webHidden/>
          </w:rPr>
          <w:tab/>
        </w:r>
        <w:r w:rsidR="00403486">
          <w:rPr>
            <w:noProof/>
            <w:webHidden/>
          </w:rPr>
          <w:fldChar w:fldCharType="begin"/>
        </w:r>
        <w:r w:rsidR="00403486">
          <w:rPr>
            <w:noProof/>
            <w:webHidden/>
          </w:rPr>
          <w:instrText xml:space="preserve"> PAGEREF _Toc62558769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58CB716D" w14:textId="468ACFB4"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70" w:history="1">
        <w:r w:rsidR="00403486" w:rsidRPr="00F11F80">
          <w:rPr>
            <w:rStyle w:val="Hyperlink"/>
            <w:noProof/>
          </w:rPr>
          <w:t>Emergency Work Variance</w:t>
        </w:r>
        <w:r w:rsidR="00403486">
          <w:rPr>
            <w:noProof/>
            <w:webHidden/>
          </w:rPr>
          <w:tab/>
        </w:r>
        <w:r w:rsidR="00403486">
          <w:rPr>
            <w:noProof/>
            <w:webHidden/>
          </w:rPr>
          <w:fldChar w:fldCharType="begin"/>
        </w:r>
        <w:r w:rsidR="00403486">
          <w:rPr>
            <w:noProof/>
            <w:webHidden/>
          </w:rPr>
          <w:instrText xml:space="preserve"> PAGEREF _Toc62558770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0FCB55C4" w14:textId="208767E7" w:rsidR="00403486" w:rsidRDefault="005D2DCA">
      <w:pPr>
        <w:pStyle w:val="TOC1"/>
        <w:tabs>
          <w:tab w:val="right" w:leader="dot" w:pos="10870"/>
        </w:tabs>
        <w:rPr>
          <w:rFonts w:asciiTheme="minorHAnsi" w:eastAsiaTheme="minorEastAsia" w:hAnsiTheme="minorHAnsi" w:cstheme="minorBidi"/>
          <w:noProof/>
          <w:sz w:val="22"/>
          <w:szCs w:val="22"/>
          <w:lang w:bidi="ar-SA"/>
        </w:rPr>
      </w:pPr>
      <w:hyperlink w:anchor="_Toc62558771" w:history="1">
        <w:r w:rsidR="00403486" w:rsidRPr="00F11F80">
          <w:rPr>
            <w:rStyle w:val="Hyperlink"/>
            <w:noProof/>
          </w:rPr>
          <w:t>Refinery Onboarding Contacts</w:t>
        </w:r>
        <w:r w:rsidR="00403486">
          <w:rPr>
            <w:noProof/>
            <w:webHidden/>
          </w:rPr>
          <w:tab/>
        </w:r>
        <w:r w:rsidR="00403486">
          <w:rPr>
            <w:noProof/>
            <w:webHidden/>
          </w:rPr>
          <w:fldChar w:fldCharType="begin"/>
        </w:r>
        <w:r w:rsidR="00403486">
          <w:rPr>
            <w:noProof/>
            <w:webHidden/>
          </w:rPr>
          <w:instrText xml:space="preserve"> PAGEREF _Toc62558771 \h </w:instrText>
        </w:r>
        <w:r w:rsidR="00403486">
          <w:rPr>
            <w:noProof/>
            <w:webHidden/>
          </w:rPr>
        </w:r>
        <w:r w:rsidR="00403486">
          <w:rPr>
            <w:noProof/>
            <w:webHidden/>
          </w:rPr>
          <w:fldChar w:fldCharType="separate"/>
        </w:r>
        <w:r w:rsidR="00403486">
          <w:rPr>
            <w:noProof/>
            <w:webHidden/>
          </w:rPr>
          <w:t>9</w:t>
        </w:r>
        <w:r w:rsidR="00403486">
          <w:rPr>
            <w:noProof/>
            <w:webHidden/>
          </w:rPr>
          <w:fldChar w:fldCharType="end"/>
        </w:r>
      </w:hyperlink>
    </w:p>
    <w:p w14:paraId="76E1157B" w14:textId="4E294F1C" w:rsidR="00C53711" w:rsidRPr="00526963" w:rsidRDefault="0092529C" w:rsidP="00526963">
      <w:r>
        <w:fldChar w:fldCharType="end"/>
      </w:r>
    </w:p>
    <w:p w14:paraId="34021655" w14:textId="77777777" w:rsidR="00C53711" w:rsidRDefault="00C53711">
      <w:pPr>
        <w:pStyle w:val="BodyText"/>
        <w:spacing w:before="6"/>
        <w:rPr>
          <w:sz w:val="15"/>
        </w:rPr>
      </w:pPr>
    </w:p>
    <w:p w14:paraId="4F1F7E17" w14:textId="77777777" w:rsidR="00C53711" w:rsidRDefault="0092529C">
      <w:pPr>
        <w:pStyle w:val="Heading1"/>
      </w:pPr>
      <w:bookmarkStart w:id="0" w:name="Introduction"/>
      <w:bookmarkStart w:id="1" w:name="_Toc62558752"/>
      <w:bookmarkEnd w:id="0"/>
      <w:r>
        <w:t>Introduction</w:t>
      </w:r>
      <w:bookmarkEnd w:id="1"/>
    </w:p>
    <w:p w14:paraId="06350F93" w14:textId="77777777" w:rsidR="00C53711" w:rsidRDefault="0092529C">
      <w:pPr>
        <w:pStyle w:val="BodyText"/>
        <w:spacing w:before="61"/>
        <w:ind w:left="220"/>
      </w:pPr>
      <w:r>
        <w:rPr>
          <w:u w:val="single"/>
        </w:rPr>
        <w:t>Purpose</w:t>
      </w:r>
    </w:p>
    <w:p w14:paraId="3CA33E5D" w14:textId="77777777" w:rsidR="00C53711" w:rsidRDefault="0092529C">
      <w:pPr>
        <w:pStyle w:val="BodyText"/>
        <w:spacing w:before="41" w:line="273" w:lineRule="auto"/>
        <w:ind w:left="219" w:right="620"/>
      </w:pPr>
      <w:r>
        <w:t>The contents of this document supplement RSSI 01-65, Contractor Safety Program. The Contractor Onboarding Guide details the contractor safety program elements for selecting and onboarding contractors.</w:t>
      </w:r>
    </w:p>
    <w:p w14:paraId="5D9C45F5" w14:textId="77777777" w:rsidR="00C53711" w:rsidRDefault="00C53711">
      <w:pPr>
        <w:pStyle w:val="BodyText"/>
        <w:spacing w:before="11"/>
        <w:rPr>
          <w:sz w:val="16"/>
        </w:rPr>
      </w:pPr>
    </w:p>
    <w:p w14:paraId="4F34AF7B" w14:textId="77777777" w:rsidR="00C53711" w:rsidRDefault="0092529C">
      <w:pPr>
        <w:pStyle w:val="BodyText"/>
        <w:ind w:left="220"/>
      </w:pPr>
      <w:r>
        <w:rPr>
          <w:u w:val="single"/>
        </w:rPr>
        <w:t>Scope</w:t>
      </w:r>
    </w:p>
    <w:p w14:paraId="333CD59B" w14:textId="77777777" w:rsidR="00C53711" w:rsidRDefault="0092529C">
      <w:pPr>
        <w:pStyle w:val="BodyText"/>
        <w:spacing w:before="39" w:line="276" w:lineRule="auto"/>
        <w:ind w:left="220" w:right="620"/>
      </w:pPr>
      <w:r>
        <w:t>The Contractor Onboarding Guide applies to all personnel, employees and contractors, that conduct work at the refinery to include routine activities, turnarounds, capital projects, major projects, Logistics and other work on refinery property.</w:t>
      </w:r>
    </w:p>
    <w:p w14:paraId="3FDB5F92" w14:textId="77777777" w:rsidR="00C53711" w:rsidRDefault="00C53711">
      <w:pPr>
        <w:pStyle w:val="BodyText"/>
        <w:spacing w:before="6"/>
        <w:rPr>
          <w:sz w:val="16"/>
        </w:rPr>
      </w:pPr>
    </w:p>
    <w:p w14:paraId="5DEE29B9" w14:textId="77777777" w:rsidR="00C53711" w:rsidRDefault="0092529C">
      <w:pPr>
        <w:pStyle w:val="BodyText"/>
        <w:ind w:left="220"/>
      </w:pPr>
      <w:r>
        <w:rPr>
          <w:u w:val="single"/>
        </w:rPr>
        <w:t>Acknowledgement</w:t>
      </w:r>
    </w:p>
    <w:p w14:paraId="14C37534" w14:textId="77777777" w:rsidR="00C53711" w:rsidRDefault="0092529C">
      <w:pPr>
        <w:pStyle w:val="BodyText"/>
        <w:spacing w:before="38" w:line="276" w:lineRule="auto"/>
        <w:ind w:left="219" w:right="586"/>
      </w:pPr>
      <w:r>
        <w:t>It is understood that when all involved parties have agreed contractually, they have reviewed this document and agreed comply with the requirements.</w:t>
      </w:r>
    </w:p>
    <w:p w14:paraId="30511D8D" w14:textId="77777777" w:rsidR="00C53711" w:rsidRDefault="00C53711">
      <w:pPr>
        <w:spacing w:line="276" w:lineRule="auto"/>
        <w:sectPr w:rsidR="00C53711">
          <w:headerReference w:type="default" r:id="rId10"/>
          <w:footerReference w:type="default" r:id="rId11"/>
          <w:type w:val="continuous"/>
          <w:pgSz w:w="12240" w:h="15840"/>
          <w:pgMar w:top="1700" w:right="680" w:bottom="620" w:left="680" w:header="725" w:footer="438" w:gutter="0"/>
          <w:pgNumType w:start="1"/>
          <w:cols w:space="720"/>
        </w:sectPr>
      </w:pPr>
    </w:p>
    <w:p w14:paraId="32E77EAB" w14:textId="77777777" w:rsidR="00C53711" w:rsidRDefault="00C53711">
      <w:pPr>
        <w:pStyle w:val="BodyText"/>
        <w:spacing w:before="1"/>
        <w:rPr>
          <w:sz w:val="26"/>
        </w:rPr>
      </w:pPr>
    </w:p>
    <w:p w14:paraId="75F334CB" w14:textId="77777777" w:rsidR="00C53711" w:rsidRDefault="0092529C">
      <w:pPr>
        <w:pStyle w:val="Heading1"/>
        <w:spacing w:before="27"/>
      </w:pPr>
      <w:bookmarkStart w:id="2" w:name="Commercial_Requirements"/>
      <w:bookmarkStart w:id="3" w:name="_Toc62558753"/>
      <w:bookmarkEnd w:id="2"/>
      <w:r>
        <w:t>Commercial Requirements</w:t>
      </w:r>
      <w:bookmarkEnd w:id="3"/>
    </w:p>
    <w:p w14:paraId="0E3D4550" w14:textId="77777777" w:rsidR="00C53711" w:rsidRDefault="0092529C">
      <w:pPr>
        <w:pStyle w:val="BodyText"/>
        <w:spacing w:before="61"/>
        <w:ind w:left="219" w:right="228"/>
        <w:jc w:val="both"/>
      </w:pPr>
      <w:r>
        <w:t>Ensure that a fully executed agreement is in place prior to any start of work and submit W-9 to Procurement. Follow up to verify that the W-9 has been added to SAP. Ensure that an approved PO has been issued prior to start of work and always be sure to invoice with 90 days.</w:t>
      </w:r>
    </w:p>
    <w:p w14:paraId="5F98C163" w14:textId="77777777" w:rsidR="00C53711" w:rsidRDefault="00C53711">
      <w:pPr>
        <w:pStyle w:val="BodyText"/>
        <w:spacing w:before="1"/>
      </w:pPr>
    </w:p>
    <w:p w14:paraId="023FDD11" w14:textId="77777777" w:rsidR="00C53711" w:rsidRDefault="0092529C">
      <w:pPr>
        <w:pStyle w:val="BodyText"/>
        <w:ind w:left="219" w:right="315"/>
      </w:pPr>
      <w:r>
        <w:t>For TRACK vendors, ensure that TRACK account has been established and all personnel entries made and verify that all labor hours are entered into TRACK and not submitted by paper.</w:t>
      </w:r>
    </w:p>
    <w:p w14:paraId="67109071" w14:textId="77777777" w:rsidR="00C53711" w:rsidRDefault="00C53711">
      <w:pPr>
        <w:pStyle w:val="BodyText"/>
        <w:spacing w:before="10"/>
        <w:rPr>
          <w:sz w:val="19"/>
        </w:rPr>
      </w:pPr>
    </w:p>
    <w:p w14:paraId="018232E5" w14:textId="77777777" w:rsidR="00C53711" w:rsidRDefault="0092529C">
      <w:pPr>
        <w:pStyle w:val="Heading1"/>
      </w:pPr>
      <w:bookmarkStart w:id="4" w:name="Onboarding_Requirements_per_Work_Type"/>
      <w:bookmarkStart w:id="5" w:name="_Toc62558754"/>
      <w:bookmarkEnd w:id="4"/>
      <w:r>
        <w:t>Onboarding Requirements per Work Type</w:t>
      </w:r>
      <w:bookmarkEnd w:id="5"/>
    </w:p>
    <w:p w14:paraId="7AE73EA0" w14:textId="77777777" w:rsidR="00C53711" w:rsidRDefault="0092529C">
      <w:pPr>
        <w:pStyle w:val="BodyText"/>
        <w:spacing w:before="63" w:line="276" w:lineRule="auto"/>
        <w:ind w:left="219" w:right="315"/>
      </w:pPr>
      <w:r>
        <w:t>The refinery evaluates the scope of work activities to determine which requirements must be completed. The Contractor Work Code Matrix lists each work type and lists the applicable work type level. There are two levels of work types based on the risk level of the tasks being performed.</w:t>
      </w:r>
    </w:p>
    <w:p w14:paraId="145A6C40" w14:textId="77777777" w:rsidR="00C53711" w:rsidRDefault="00C53711">
      <w:pPr>
        <w:pStyle w:val="BodyText"/>
        <w:spacing w:before="4"/>
        <w:rPr>
          <w:sz w:val="25"/>
        </w:rPr>
      </w:pPr>
    </w:p>
    <w:p w14:paraId="6BF79675" w14:textId="77777777" w:rsidR="00C53711" w:rsidRDefault="0092529C">
      <w:pPr>
        <w:pStyle w:val="BodyText"/>
        <w:spacing w:before="1" w:line="276" w:lineRule="auto"/>
        <w:ind w:left="218" w:right="315"/>
      </w:pPr>
      <w:r>
        <w:t xml:space="preserve">Generally, Level 1 applies to visitors and contract employees with work activities that do not involve working in process units or other restricted areas, and do not conduct medium or high-risk work. Level 2 applies to contract employees </w:t>
      </w:r>
      <w:r w:rsidRPr="00564BD2">
        <w:t>with work activities that involve working in process units or other restricted areas and conduct medium or high-risk work. The use of tools and/or working in process units or other restricted areas is typically the qualifier for Level 2 work.</w:t>
      </w:r>
    </w:p>
    <w:p w14:paraId="14540416" w14:textId="77777777" w:rsidR="00C53711" w:rsidRDefault="00C53711">
      <w:pPr>
        <w:pStyle w:val="BodyText"/>
        <w:spacing w:before="3"/>
        <w:rPr>
          <w:sz w:val="25"/>
        </w:rPr>
      </w:pPr>
    </w:p>
    <w:p w14:paraId="762D83F3" w14:textId="77777777" w:rsidR="00C53711" w:rsidRDefault="0092529C">
      <w:pPr>
        <w:pStyle w:val="BodyText"/>
        <w:spacing w:line="276" w:lineRule="auto"/>
        <w:ind w:left="218" w:right="620"/>
      </w:pPr>
      <w:r>
        <w:t>The table below outlines the typical requirements per work type level. Use other sections of this guide for additional details of each requirement.</w:t>
      </w:r>
    </w:p>
    <w:p w14:paraId="4B2BF7D0" w14:textId="77777777" w:rsidR="00C53711" w:rsidRDefault="00C53711">
      <w:pPr>
        <w:pStyle w:val="BodyText"/>
        <w:spacing w:before="4"/>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5129"/>
      </w:tblGrid>
      <w:tr w:rsidR="00EC34B9" w14:paraId="0DF3ABD7" w14:textId="77777777" w:rsidTr="00564391">
        <w:trPr>
          <w:trHeight w:val="244"/>
        </w:trPr>
        <w:tc>
          <w:tcPr>
            <w:tcW w:w="5131" w:type="dxa"/>
            <w:shd w:val="clear" w:color="auto" w:fill="1F497D"/>
          </w:tcPr>
          <w:p w14:paraId="25ACF9A3" w14:textId="77777777" w:rsidR="00EC34B9" w:rsidRDefault="00EC34B9" w:rsidP="00564391">
            <w:pPr>
              <w:pStyle w:val="TableParagraph"/>
              <w:spacing w:before="1" w:line="223" w:lineRule="exact"/>
              <w:ind w:left="107"/>
              <w:rPr>
                <w:b/>
                <w:sz w:val="20"/>
              </w:rPr>
            </w:pPr>
            <w:r>
              <w:rPr>
                <w:b/>
                <w:color w:val="FFFFFF"/>
                <w:sz w:val="20"/>
              </w:rPr>
              <w:t>At minimum, Level 1 work types shall:</w:t>
            </w:r>
          </w:p>
        </w:tc>
        <w:tc>
          <w:tcPr>
            <w:tcW w:w="5129" w:type="dxa"/>
            <w:shd w:val="clear" w:color="auto" w:fill="1F497D"/>
          </w:tcPr>
          <w:p w14:paraId="77F1AFD6" w14:textId="77777777" w:rsidR="00EC34B9" w:rsidRDefault="00EC34B9" w:rsidP="00564391">
            <w:pPr>
              <w:pStyle w:val="TableParagraph"/>
              <w:spacing w:before="1" w:line="223" w:lineRule="exact"/>
              <w:rPr>
                <w:b/>
                <w:sz w:val="20"/>
              </w:rPr>
            </w:pPr>
            <w:r>
              <w:rPr>
                <w:b/>
                <w:color w:val="FFFFFF"/>
                <w:sz w:val="20"/>
              </w:rPr>
              <w:t>At minimum, Level 2 work types shall:</w:t>
            </w:r>
          </w:p>
        </w:tc>
      </w:tr>
      <w:tr w:rsidR="00EC34B9" w14:paraId="579C3853" w14:textId="77777777" w:rsidTr="00564391">
        <w:trPr>
          <w:trHeight w:val="2973"/>
        </w:trPr>
        <w:tc>
          <w:tcPr>
            <w:tcW w:w="5131" w:type="dxa"/>
          </w:tcPr>
          <w:p w14:paraId="58141DC3" w14:textId="77777777" w:rsidR="00EC34B9" w:rsidRDefault="00EC34B9" w:rsidP="00564391">
            <w:pPr>
              <w:pStyle w:val="TableParagraph"/>
              <w:numPr>
                <w:ilvl w:val="0"/>
                <w:numId w:val="6"/>
              </w:numPr>
              <w:tabs>
                <w:tab w:val="left" w:pos="467"/>
                <w:tab w:val="left" w:pos="468"/>
              </w:tabs>
              <w:rPr>
                <w:sz w:val="20"/>
              </w:rPr>
            </w:pPr>
            <w:r>
              <w:rPr>
                <w:sz w:val="20"/>
              </w:rPr>
              <w:t>Enroll/Participate in Tang &amp;</w:t>
            </w:r>
            <w:r>
              <w:rPr>
                <w:spacing w:val="-1"/>
                <w:sz w:val="20"/>
              </w:rPr>
              <w:t xml:space="preserve"> </w:t>
            </w:r>
            <w:r>
              <w:rPr>
                <w:sz w:val="20"/>
              </w:rPr>
              <w:t>Company</w:t>
            </w:r>
          </w:p>
          <w:p w14:paraId="16C6A6B2" w14:textId="77777777" w:rsidR="00EC34B9" w:rsidRDefault="00EC34B9" w:rsidP="00564391">
            <w:pPr>
              <w:pStyle w:val="TableParagraph"/>
              <w:numPr>
                <w:ilvl w:val="1"/>
                <w:numId w:val="6"/>
              </w:numPr>
              <w:tabs>
                <w:tab w:val="left" w:pos="918"/>
                <w:tab w:val="left" w:pos="919"/>
              </w:tabs>
              <w:spacing w:before="1" w:line="248" w:lineRule="exact"/>
              <w:ind w:hanging="359"/>
              <w:rPr>
                <w:sz w:val="20"/>
              </w:rPr>
            </w:pPr>
            <w:r>
              <w:rPr>
                <w:sz w:val="20"/>
              </w:rPr>
              <w:t>Drug and Alcohol</w:t>
            </w:r>
            <w:r>
              <w:rPr>
                <w:spacing w:val="-1"/>
                <w:sz w:val="20"/>
              </w:rPr>
              <w:t xml:space="preserve"> </w:t>
            </w:r>
            <w:r>
              <w:rPr>
                <w:sz w:val="20"/>
              </w:rPr>
              <w:t>Screening*</w:t>
            </w:r>
          </w:p>
          <w:p w14:paraId="5DF5C0DF" w14:textId="77777777" w:rsidR="00EC34B9" w:rsidRDefault="00EC34B9" w:rsidP="00564391">
            <w:pPr>
              <w:pStyle w:val="TableParagraph"/>
              <w:numPr>
                <w:ilvl w:val="1"/>
                <w:numId w:val="6"/>
              </w:numPr>
              <w:tabs>
                <w:tab w:val="left" w:pos="918"/>
                <w:tab w:val="left" w:pos="919"/>
              </w:tabs>
              <w:spacing w:line="244" w:lineRule="exact"/>
              <w:ind w:hanging="359"/>
              <w:rPr>
                <w:sz w:val="20"/>
              </w:rPr>
            </w:pPr>
            <w:r>
              <w:rPr>
                <w:sz w:val="20"/>
              </w:rPr>
              <w:t>Background Check*</w:t>
            </w:r>
          </w:p>
          <w:p w14:paraId="37F50C6B" w14:textId="77777777" w:rsidR="00EC34B9" w:rsidRDefault="00EC34B9" w:rsidP="00564391">
            <w:pPr>
              <w:pStyle w:val="TableParagraph"/>
              <w:numPr>
                <w:ilvl w:val="0"/>
                <w:numId w:val="6"/>
              </w:numPr>
              <w:tabs>
                <w:tab w:val="left" w:pos="467"/>
                <w:tab w:val="left" w:pos="468"/>
              </w:tabs>
              <w:spacing w:line="251" w:lineRule="exact"/>
              <w:rPr>
                <w:sz w:val="20"/>
              </w:rPr>
            </w:pPr>
            <w:r>
              <w:rPr>
                <w:sz w:val="20"/>
              </w:rPr>
              <w:t>Vehicle Authorization and Liability Coverage*</w:t>
            </w:r>
          </w:p>
          <w:p w14:paraId="4EEA43CE" w14:textId="77777777" w:rsidR="00EC34B9" w:rsidRDefault="00EC34B9" w:rsidP="00564391">
            <w:pPr>
              <w:pStyle w:val="TableParagraph"/>
              <w:numPr>
                <w:ilvl w:val="0"/>
                <w:numId w:val="6"/>
              </w:numPr>
              <w:tabs>
                <w:tab w:val="left" w:pos="467"/>
                <w:tab w:val="left" w:pos="468"/>
              </w:tabs>
              <w:spacing w:line="254" w:lineRule="exact"/>
              <w:rPr>
                <w:sz w:val="20"/>
              </w:rPr>
            </w:pPr>
            <w:r>
              <w:rPr>
                <w:sz w:val="20"/>
              </w:rPr>
              <w:t>Visitor/Vendor</w:t>
            </w:r>
            <w:r>
              <w:rPr>
                <w:spacing w:val="-1"/>
                <w:sz w:val="20"/>
              </w:rPr>
              <w:t xml:space="preserve"> </w:t>
            </w:r>
            <w:r>
              <w:rPr>
                <w:sz w:val="20"/>
              </w:rPr>
              <w:t>Video</w:t>
            </w:r>
          </w:p>
          <w:p w14:paraId="0C381500" w14:textId="77777777" w:rsidR="00EC34B9" w:rsidRDefault="00EC34B9" w:rsidP="00564391">
            <w:pPr>
              <w:pStyle w:val="TableParagraph"/>
              <w:numPr>
                <w:ilvl w:val="0"/>
                <w:numId w:val="6"/>
              </w:numPr>
              <w:tabs>
                <w:tab w:val="left" w:pos="467"/>
                <w:tab w:val="left" w:pos="468"/>
              </w:tabs>
              <w:spacing w:line="255" w:lineRule="exact"/>
              <w:rPr>
                <w:sz w:val="20"/>
              </w:rPr>
            </w:pPr>
            <w:r>
              <w:rPr>
                <w:sz w:val="20"/>
              </w:rPr>
              <w:t>Other job specific training per job</w:t>
            </w:r>
            <w:r>
              <w:rPr>
                <w:spacing w:val="-2"/>
                <w:sz w:val="20"/>
              </w:rPr>
              <w:t xml:space="preserve"> </w:t>
            </w:r>
            <w:r>
              <w:rPr>
                <w:sz w:val="20"/>
              </w:rPr>
              <w:t>activities*</w:t>
            </w:r>
          </w:p>
        </w:tc>
        <w:tc>
          <w:tcPr>
            <w:tcW w:w="5129" w:type="dxa"/>
          </w:tcPr>
          <w:p w14:paraId="5E8A4856" w14:textId="77777777" w:rsidR="00EC34B9" w:rsidRDefault="00EC34B9" w:rsidP="00564391">
            <w:pPr>
              <w:pStyle w:val="TableParagraph"/>
              <w:numPr>
                <w:ilvl w:val="0"/>
                <w:numId w:val="5"/>
              </w:numPr>
              <w:tabs>
                <w:tab w:val="left" w:pos="465"/>
                <w:tab w:val="left" w:pos="466"/>
              </w:tabs>
              <w:spacing w:line="255" w:lineRule="exact"/>
              <w:rPr>
                <w:sz w:val="20"/>
              </w:rPr>
            </w:pPr>
            <w:r>
              <w:rPr>
                <w:sz w:val="20"/>
              </w:rPr>
              <w:t>Enroll/Participate in</w:t>
            </w:r>
            <w:r>
              <w:rPr>
                <w:spacing w:val="-1"/>
                <w:sz w:val="20"/>
              </w:rPr>
              <w:t xml:space="preserve"> </w:t>
            </w:r>
            <w:r>
              <w:rPr>
                <w:sz w:val="20"/>
              </w:rPr>
              <w:t>ISNetworld</w:t>
            </w:r>
          </w:p>
          <w:p w14:paraId="7A05F2F1" w14:textId="7A959418" w:rsidR="00EC34B9" w:rsidRDefault="00EC34B9" w:rsidP="00564391">
            <w:pPr>
              <w:pStyle w:val="TableParagraph"/>
              <w:numPr>
                <w:ilvl w:val="0"/>
                <w:numId w:val="5"/>
              </w:numPr>
              <w:tabs>
                <w:tab w:val="left" w:pos="465"/>
                <w:tab w:val="left" w:pos="466"/>
              </w:tabs>
              <w:rPr>
                <w:sz w:val="20"/>
              </w:rPr>
            </w:pPr>
            <w:r>
              <w:rPr>
                <w:sz w:val="20"/>
              </w:rPr>
              <w:t xml:space="preserve">Enroll/Participate </w:t>
            </w:r>
          </w:p>
          <w:p w14:paraId="5145F060" w14:textId="77777777" w:rsidR="00EC34B9" w:rsidRDefault="00EC34B9" w:rsidP="00564391">
            <w:pPr>
              <w:pStyle w:val="TableParagraph"/>
              <w:numPr>
                <w:ilvl w:val="1"/>
                <w:numId w:val="5"/>
              </w:numPr>
              <w:tabs>
                <w:tab w:val="left" w:pos="916"/>
                <w:tab w:val="left" w:pos="917"/>
              </w:tabs>
              <w:spacing w:before="1" w:line="248" w:lineRule="exact"/>
              <w:rPr>
                <w:sz w:val="20"/>
              </w:rPr>
            </w:pPr>
            <w:r>
              <w:rPr>
                <w:sz w:val="20"/>
              </w:rPr>
              <w:t>Drug and Alcohol</w:t>
            </w:r>
            <w:r>
              <w:rPr>
                <w:spacing w:val="-1"/>
                <w:sz w:val="20"/>
              </w:rPr>
              <w:t xml:space="preserve"> </w:t>
            </w:r>
            <w:r>
              <w:rPr>
                <w:sz w:val="20"/>
              </w:rPr>
              <w:t>Screening</w:t>
            </w:r>
          </w:p>
          <w:p w14:paraId="03237137" w14:textId="77777777" w:rsidR="00EC34B9" w:rsidRDefault="00EC34B9" w:rsidP="00564391">
            <w:pPr>
              <w:pStyle w:val="TableParagraph"/>
              <w:numPr>
                <w:ilvl w:val="1"/>
                <w:numId w:val="5"/>
              </w:numPr>
              <w:tabs>
                <w:tab w:val="left" w:pos="916"/>
                <w:tab w:val="left" w:pos="917"/>
              </w:tabs>
              <w:spacing w:line="245" w:lineRule="exact"/>
              <w:rPr>
                <w:sz w:val="20"/>
              </w:rPr>
            </w:pPr>
            <w:r>
              <w:rPr>
                <w:sz w:val="20"/>
              </w:rPr>
              <w:t>Background Check</w:t>
            </w:r>
          </w:p>
          <w:p w14:paraId="01BAF266" w14:textId="77777777" w:rsidR="00EC34B9" w:rsidRDefault="00EC34B9" w:rsidP="00564391">
            <w:pPr>
              <w:pStyle w:val="TableParagraph"/>
              <w:numPr>
                <w:ilvl w:val="1"/>
                <w:numId w:val="5"/>
              </w:numPr>
              <w:tabs>
                <w:tab w:val="left" w:pos="916"/>
                <w:tab w:val="left" w:pos="917"/>
              </w:tabs>
              <w:spacing w:line="244" w:lineRule="exact"/>
              <w:rPr>
                <w:sz w:val="20"/>
              </w:rPr>
            </w:pPr>
            <w:r>
              <w:rPr>
                <w:sz w:val="20"/>
              </w:rPr>
              <w:t>Safety training</w:t>
            </w:r>
            <w:bookmarkStart w:id="6" w:name="_GoBack"/>
            <w:bookmarkEnd w:id="6"/>
          </w:p>
          <w:p w14:paraId="7BF1D4FF" w14:textId="77777777" w:rsidR="00EC34B9" w:rsidRDefault="00EC34B9" w:rsidP="00564391">
            <w:pPr>
              <w:pStyle w:val="TableParagraph"/>
              <w:numPr>
                <w:ilvl w:val="1"/>
                <w:numId w:val="5"/>
              </w:numPr>
              <w:tabs>
                <w:tab w:val="left" w:pos="916"/>
                <w:tab w:val="left" w:pos="917"/>
              </w:tabs>
              <w:spacing w:line="244" w:lineRule="exact"/>
              <w:rPr>
                <w:sz w:val="20"/>
              </w:rPr>
            </w:pPr>
            <w:r>
              <w:rPr>
                <w:sz w:val="20"/>
              </w:rPr>
              <w:t>Site Specific</w:t>
            </w:r>
            <w:r>
              <w:rPr>
                <w:spacing w:val="-2"/>
                <w:sz w:val="20"/>
              </w:rPr>
              <w:t xml:space="preserve"> </w:t>
            </w:r>
            <w:r>
              <w:rPr>
                <w:sz w:val="20"/>
              </w:rPr>
              <w:t>Orientation</w:t>
            </w:r>
          </w:p>
          <w:p w14:paraId="07853658" w14:textId="77777777" w:rsidR="00EC34B9" w:rsidRDefault="00EC34B9" w:rsidP="00564391">
            <w:pPr>
              <w:pStyle w:val="TableParagraph"/>
              <w:numPr>
                <w:ilvl w:val="1"/>
                <w:numId w:val="5"/>
              </w:numPr>
              <w:tabs>
                <w:tab w:val="left" w:pos="916"/>
                <w:tab w:val="left" w:pos="917"/>
              </w:tabs>
              <w:spacing w:line="245" w:lineRule="exact"/>
              <w:rPr>
                <w:sz w:val="20"/>
              </w:rPr>
            </w:pPr>
            <w:r>
              <w:rPr>
                <w:sz w:val="20"/>
              </w:rPr>
              <w:t>Confined Space Attendant (if</w:t>
            </w:r>
            <w:r>
              <w:rPr>
                <w:spacing w:val="-6"/>
                <w:sz w:val="20"/>
              </w:rPr>
              <w:t xml:space="preserve"> </w:t>
            </w:r>
            <w:r>
              <w:rPr>
                <w:sz w:val="20"/>
              </w:rPr>
              <w:t>applicable)</w:t>
            </w:r>
          </w:p>
          <w:p w14:paraId="1C82759C" w14:textId="77777777" w:rsidR="00EC34B9" w:rsidRDefault="00EC34B9" w:rsidP="00564391">
            <w:pPr>
              <w:pStyle w:val="TableParagraph"/>
              <w:numPr>
                <w:ilvl w:val="1"/>
                <w:numId w:val="5"/>
              </w:numPr>
              <w:tabs>
                <w:tab w:val="left" w:pos="916"/>
                <w:tab w:val="left" w:pos="917"/>
              </w:tabs>
              <w:spacing w:line="244" w:lineRule="exact"/>
              <w:rPr>
                <w:sz w:val="20"/>
              </w:rPr>
            </w:pPr>
            <w:r>
              <w:rPr>
                <w:sz w:val="20"/>
              </w:rPr>
              <w:t>Fire Watch (if</w:t>
            </w:r>
            <w:r>
              <w:rPr>
                <w:spacing w:val="-2"/>
                <w:sz w:val="20"/>
              </w:rPr>
              <w:t xml:space="preserve"> </w:t>
            </w:r>
            <w:r>
              <w:rPr>
                <w:sz w:val="20"/>
              </w:rPr>
              <w:t>applicable)</w:t>
            </w:r>
          </w:p>
          <w:p w14:paraId="53E69885" w14:textId="77777777" w:rsidR="00EC34B9" w:rsidRDefault="00EC34B9" w:rsidP="00564391">
            <w:pPr>
              <w:pStyle w:val="TableParagraph"/>
              <w:numPr>
                <w:ilvl w:val="1"/>
                <w:numId w:val="5"/>
              </w:numPr>
              <w:tabs>
                <w:tab w:val="left" w:pos="916"/>
                <w:tab w:val="left" w:pos="917"/>
              </w:tabs>
              <w:spacing w:line="244" w:lineRule="exact"/>
              <w:rPr>
                <w:sz w:val="20"/>
              </w:rPr>
            </w:pPr>
            <w:r>
              <w:rPr>
                <w:sz w:val="20"/>
              </w:rPr>
              <w:t>Alky Orientation and Walkthrough (if</w:t>
            </w:r>
            <w:r>
              <w:rPr>
                <w:spacing w:val="-11"/>
                <w:sz w:val="20"/>
              </w:rPr>
              <w:t xml:space="preserve"> </w:t>
            </w:r>
            <w:r>
              <w:rPr>
                <w:sz w:val="20"/>
              </w:rPr>
              <w:t>applicable)</w:t>
            </w:r>
          </w:p>
          <w:p w14:paraId="5075FEA8" w14:textId="77777777" w:rsidR="00EC34B9" w:rsidRDefault="00EC34B9" w:rsidP="00564391">
            <w:pPr>
              <w:pStyle w:val="TableParagraph"/>
              <w:numPr>
                <w:ilvl w:val="1"/>
                <w:numId w:val="5"/>
              </w:numPr>
              <w:tabs>
                <w:tab w:val="left" w:pos="916"/>
                <w:tab w:val="left" w:pos="917"/>
              </w:tabs>
              <w:spacing w:line="244" w:lineRule="exact"/>
              <w:rPr>
                <w:sz w:val="20"/>
              </w:rPr>
            </w:pPr>
            <w:r>
              <w:rPr>
                <w:sz w:val="20"/>
              </w:rPr>
              <w:t>Permit to Work (if</w:t>
            </w:r>
            <w:r>
              <w:rPr>
                <w:spacing w:val="-2"/>
                <w:sz w:val="20"/>
              </w:rPr>
              <w:t xml:space="preserve"> </w:t>
            </w:r>
            <w:r>
              <w:rPr>
                <w:sz w:val="20"/>
              </w:rPr>
              <w:t>applicable)</w:t>
            </w:r>
          </w:p>
          <w:p w14:paraId="59B752CA" w14:textId="77777777" w:rsidR="00EC34B9" w:rsidRDefault="00EC34B9" w:rsidP="00564391">
            <w:pPr>
              <w:pStyle w:val="TableParagraph"/>
              <w:numPr>
                <w:ilvl w:val="0"/>
                <w:numId w:val="5"/>
              </w:numPr>
              <w:tabs>
                <w:tab w:val="left" w:pos="465"/>
                <w:tab w:val="left" w:pos="466"/>
              </w:tabs>
              <w:spacing w:line="251" w:lineRule="exact"/>
              <w:rPr>
                <w:sz w:val="20"/>
              </w:rPr>
            </w:pPr>
            <w:r>
              <w:rPr>
                <w:sz w:val="20"/>
              </w:rPr>
              <w:t>Vehicle Authorization and Liability Coverage</w:t>
            </w:r>
          </w:p>
          <w:p w14:paraId="68EFEE77" w14:textId="77777777" w:rsidR="00EC34B9" w:rsidRDefault="00EC34B9" w:rsidP="00564391">
            <w:pPr>
              <w:pStyle w:val="TableParagraph"/>
              <w:numPr>
                <w:ilvl w:val="0"/>
                <w:numId w:val="5"/>
              </w:numPr>
              <w:tabs>
                <w:tab w:val="left" w:pos="465"/>
                <w:tab w:val="left" w:pos="466"/>
              </w:tabs>
              <w:spacing w:line="236" w:lineRule="exact"/>
              <w:rPr>
                <w:sz w:val="20"/>
              </w:rPr>
            </w:pPr>
            <w:r>
              <w:rPr>
                <w:sz w:val="20"/>
              </w:rPr>
              <w:t>Other job specific training per job</w:t>
            </w:r>
            <w:r>
              <w:rPr>
                <w:spacing w:val="-2"/>
                <w:sz w:val="20"/>
              </w:rPr>
              <w:t xml:space="preserve"> </w:t>
            </w:r>
            <w:r>
              <w:rPr>
                <w:sz w:val="20"/>
              </w:rPr>
              <w:t>activities</w:t>
            </w:r>
          </w:p>
        </w:tc>
      </w:tr>
      <w:tr w:rsidR="00EC34B9" w14:paraId="42602EC6" w14:textId="77777777" w:rsidTr="00564391">
        <w:trPr>
          <w:trHeight w:val="2207"/>
        </w:trPr>
        <w:tc>
          <w:tcPr>
            <w:tcW w:w="5131" w:type="dxa"/>
          </w:tcPr>
          <w:p w14:paraId="1F29B3FA" w14:textId="77777777" w:rsidR="00EC34B9" w:rsidRDefault="00EC34B9" w:rsidP="00564391">
            <w:pPr>
              <w:pStyle w:val="TableParagraph"/>
              <w:spacing w:line="243" w:lineRule="exact"/>
              <w:ind w:left="107"/>
              <w:rPr>
                <w:b/>
                <w:sz w:val="20"/>
              </w:rPr>
            </w:pPr>
            <w:r>
              <w:rPr>
                <w:b/>
                <w:sz w:val="20"/>
                <w:u w:val="single"/>
              </w:rPr>
              <w:t>Exemptions from Level 1 requirements</w:t>
            </w:r>
          </w:p>
          <w:p w14:paraId="1DEA3FE9" w14:textId="77777777" w:rsidR="00EC34B9" w:rsidRDefault="00EC34B9" w:rsidP="00564391">
            <w:pPr>
              <w:pStyle w:val="TableParagraph"/>
              <w:numPr>
                <w:ilvl w:val="0"/>
                <w:numId w:val="4"/>
              </w:numPr>
              <w:tabs>
                <w:tab w:val="left" w:pos="467"/>
                <w:tab w:val="left" w:pos="468"/>
              </w:tabs>
              <w:ind w:right="128"/>
              <w:rPr>
                <w:sz w:val="20"/>
              </w:rPr>
            </w:pPr>
            <w:r>
              <w:rPr>
                <w:sz w:val="20"/>
              </w:rPr>
              <w:t>Visitors and Contract employees that will only be</w:t>
            </w:r>
            <w:r>
              <w:rPr>
                <w:spacing w:val="-30"/>
                <w:sz w:val="20"/>
              </w:rPr>
              <w:t xml:space="preserve"> </w:t>
            </w:r>
            <w:r>
              <w:rPr>
                <w:sz w:val="20"/>
              </w:rPr>
              <w:t>onsite for meetings, training, etc. and no work will involve tools or entry to process areas may be exempt from onboarding requirements shown with an asterisk. Refinery employee escort is required. If the visitor or contract employee drives a vehicle into the refinery</w:t>
            </w:r>
            <w:r>
              <w:rPr>
                <w:spacing w:val="-22"/>
                <w:sz w:val="20"/>
              </w:rPr>
              <w:t xml:space="preserve"> </w:t>
            </w:r>
            <w:r>
              <w:rPr>
                <w:sz w:val="20"/>
              </w:rPr>
              <w:t>the</w:t>
            </w:r>
          </w:p>
          <w:p w14:paraId="3EA28910" w14:textId="77777777" w:rsidR="00EC34B9" w:rsidRDefault="00EC34B9" w:rsidP="00564391">
            <w:pPr>
              <w:pStyle w:val="TableParagraph"/>
              <w:spacing w:before="1" w:line="240" w:lineRule="atLeast"/>
              <w:ind w:left="467" w:right="113" w:hanging="1"/>
              <w:rPr>
                <w:sz w:val="20"/>
              </w:rPr>
            </w:pPr>
            <w:r>
              <w:rPr>
                <w:sz w:val="20"/>
              </w:rPr>
              <w:t>Vehicle Authorization and Liability coverage may not be waived.</w:t>
            </w:r>
          </w:p>
        </w:tc>
        <w:tc>
          <w:tcPr>
            <w:tcW w:w="5129" w:type="dxa"/>
          </w:tcPr>
          <w:p w14:paraId="7C710639" w14:textId="77777777" w:rsidR="00EC34B9" w:rsidRDefault="00EC34B9" w:rsidP="00564391">
            <w:pPr>
              <w:pStyle w:val="TableParagraph"/>
              <w:spacing w:line="243" w:lineRule="exact"/>
              <w:rPr>
                <w:b/>
                <w:sz w:val="20"/>
              </w:rPr>
            </w:pPr>
            <w:r>
              <w:rPr>
                <w:b/>
                <w:sz w:val="20"/>
                <w:u w:val="single"/>
              </w:rPr>
              <w:t>Exemptions from Level 2 requirements</w:t>
            </w:r>
          </w:p>
          <w:p w14:paraId="1708A9A0" w14:textId="77777777" w:rsidR="00EC34B9" w:rsidRDefault="00EC34B9" w:rsidP="00564391">
            <w:pPr>
              <w:pStyle w:val="TableParagraph"/>
              <w:numPr>
                <w:ilvl w:val="0"/>
                <w:numId w:val="3"/>
              </w:numPr>
              <w:tabs>
                <w:tab w:val="left" w:pos="465"/>
                <w:tab w:val="left" w:pos="466"/>
              </w:tabs>
              <w:ind w:right="186"/>
              <w:rPr>
                <w:sz w:val="20"/>
              </w:rPr>
            </w:pPr>
            <w:r>
              <w:rPr>
                <w:sz w:val="20"/>
              </w:rPr>
              <w:t>Exemptions from these requirements may be granted for emergency work activities and on a case by case basis. Exemptions will not be granted without detailed justification as to why an onboarding requirement cannot be</w:t>
            </w:r>
            <w:r>
              <w:rPr>
                <w:spacing w:val="-2"/>
                <w:sz w:val="20"/>
              </w:rPr>
              <w:t xml:space="preserve"> </w:t>
            </w:r>
            <w:r>
              <w:rPr>
                <w:sz w:val="20"/>
              </w:rPr>
              <w:t>met.</w:t>
            </w:r>
          </w:p>
        </w:tc>
      </w:tr>
    </w:tbl>
    <w:p w14:paraId="1C5F93DC" w14:textId="58E2E8FA" w:rsidR="00C53711" w:rsidRDefault="00C53711">
      <w:pPr>
        <w:pStyle w:val="BodyText"/>
        <w:spacing w:before="1"/>
        <w:rPr>
          <w:sz w:val="26"/>
        </w:rPr>
      </w:pPr>
    </w:p>
    <w:p w14:paraId="1410B489" w14:textId="77777777" w:rsidR="00271B58" w:rsidRDefault="00271B58">
      <w:pPr>
        <w:pStyle w:val="BodyText"/>
        <w:spacing w:before="1"/>
        <w:rPr>
          <w:sz w:val="26"/>
        </w:rPr>
      </w:pPr>
    </w:p>
    <w:p w14:paraId="19B82F66" w14:textId="77777777" w:rsidR="00C53711" w:rsidRDefault="0092529C">
      <w:pPr>
        <w:pStyle w:val="Heading1"/>
        <w:spacing w:before="27"/>
      </w:pPr>
      <w:bookmarkStart w:id="7" w:name="ISNetworld_Participation"/>
      <w:bookmarkStart w:id="8" w:name="_Toc62558755"/>
      <w:bookmarkEnd w:id="7"/>
      <w:r>
        <w:lastRenderedPageBreak/>
        <w:t>ISNetworld Participation</w:t>
      </w:r>
      <w:bookmarkEnd w:id="8"/>
    </w:p>
    <w:p w14:paraId="49FF12AD" w14:textId="77777777" w:rsidR="00C53711" w:rsidRDefault="0092529C">
      <w:pPr>
        <w:pStyle w:val="BodyText"/>
        <w:spacing w:before="61" w:line="276" w:lineRule="auto"/>
        <w:ind w:left="219"/>
      </w:pPr>
      <w:r>
        <w:t xml:space="preserve">ISNetworld (ISN) is our 3rd party administrator for reviewing safety programs and performance. Contract and Sub- Contract companies shall participate in ISNetworld if they are required per the work </w:t>
      </w:r>
      <w:proofErr w:type="gramStart"/>
      <w:r>
        <w:t>type</w:t>
      </w:r>
      <w:proofErr w:type="gramEnd"/>
      <w:r>
        <w:t xml:space="preserve"> they conduct. Refer to the Work Code Matrix to review specific work types to determine in ISNetworld is required.</w:t>
      </w:r>
    </w:p>
    <w:p w14:paraId="597C60A5" w14:textId="77777777" w:rsidR="00C53711" w:rsidRDefault="00C53711">
      <w:pPr>
        <w:pStyle w:val="BodyText"/>
        <w:spacing w:before="6"/>
        <w:rPr>
          <w:sz w:val="16"/>
        </w:rPr>
      </w:pPr>
    </w:p>
    <w:p w14:paraId="13948611" w14:textId="5E855204" w:rsidR="00C53711" w:rsidRDefault="0092529C">
      <w:pPr>
        <w:pStyle w:val="BodyText"/>
        <w:spacing w:line="273" w:lineRule="auto"/>
        <w:ind w:left="219" w:right="1771"/>
      </w:pPr>
      <w:r>
        <w:t xml:space="preserve">If the contract company does not have an account they can establish one </w:t>
      </w:r>
      <w:hyperlink r:id="rId12">
        <w:r w:rsidRPr="58AF87F6">
          <w:rPr>
            <w:color w:val="0000FF"/>
            <w:u w:val="single"/>
          </w:rPr>
          <w:t>https://www.isnetworld.com</w:t>
        </w:r>
        <w:r w:rsidRPr="58AF87F6">
          <w:rPr>
            <w:color w:val="0000FF"/>
          </w:rPr>
          <w:t xml:space="preserve"> </w:t>
        </w:r>
      </w:hyperlink>
      <w:r>
        <w:t>to get started.</w:t>
      </w:r>
    </w:p>
    <w:p w14:paraId="43E7F1C6" w14:textId="77777777" w:rsidR="00C53711" w:rsidRDefault="00C53711">
      <w:pPr>
        <w:pStyle w:val="BodyText"/>
        <w:spacing w:before="1"/>
        <w:rPr>
          <w:sz w:val="12"/>
        </w:rPr>
      </w:pPr>
    </w:p>
    <w:p w14:paraId="34330A3A" w14:textId="77777777" w:rsidR="00C53711" w:rsidRDefault="0092529C">
      <w:pPr>
        <w:pStyle w:val="BodyText"/>
        <w:spacing w:before="57" w:line="276" w:lineRule="auto"/>
        <w:ind w:left="219" w:right="229"/>
      </w:pPr>
      <w:r>
        <w:t>An acceptable grade ("A" or "B") for a contractor’s status acts as the authorization for Procurement to begin the process of establishing a contractual relationship with the contractor. This may include, but not be limited to, adding the contractor to the Approved Vendor List (AVL), submit request for pricing for either a specific project or the establishment of a Master Services Agreement, issuance of a Purchase Order for specific type of work or establish the contractor as a strategic supplier.</w:t>
      </w:r>
    </w:p>
    <w:p w14:paraId="251C2FFC" w14:textId="77777777" w:rsidR="00C53711" w:rsidRDefault="00C53711">
      <w:pPr>
        <w:pStyle w:val="BodyText"/>
        <w:spacing w:before="5"/>
        <w:rPr>
          <w:sz w:val="16"/>
        </w:rPr>
      </w:pPr>
    </w:p>
    <w:p w14:paraId="45699304" w14:textId="77777777" w:rsidR="00C53711" w:rsidRDefault="0092529C">
      <w:pPr>
        <w:pStyle w:val="BodyText"/>
        <w:spacing w:line="276" w:lineRule="auto"/>
        <w:ind w:left="219" w:right="394"/>
      </w:pPr>
      <w:r>
        <w:t>A deficient grade will require additional review and approval prior to any contractual agreement. An “C" grade signifies that the contractor cannot meet the qualification criteria and will not be approved to conduct work onsite without variance approval from refinery leadership. An “F" grade signifies that the contractor cannot meet the qualification criteria and will not be approved to conduct work onsite without variance approval from refinery leadership and corporate leadership.</w:t>
      </w:r>
    </w:p>
    <w:p w14:paraId="7E39CA54" w14:textId="77777777" w:rsidR="00C53711" w:rsidRDefault="00C53711">
      <w:pPr>
        <w:pStyle w:val="BodyText"/>
        <w:spacing w:before="6"/>
        <w:rPr>
          <w:sz w:val="1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7"/>
        <w:gridCol w:w="3115"/>
        <w:gridCol w:w="3480"/>
      </w:tblGrid>
      <w:tr w:rsidR="00C53711" w14:paraId="3BC93620" w14:textId="77777777">
        <w:trPr>
          <w:trHeight w:val="268"/>
        </w:trPr>
        <w:tc>
          <w:tcPr>
            <w:tcW w:w="10322" w:type="dxa"/>
            <w:gridSpan w:val="3"/>
            <w:shd w:val="clear" w:color="auto" w:fill="1F497D"/>
          </w:tcPr>
          <w:p w14:paraId="0A13FC78" w14:textId="77777777" w:rsidR="00C53711" w:rsidRDefault="0092529C">
            <w:pPr>
              <w:pStyle w:val="TableParagraph"/>
              <w:spacing w:line="248" w:lineRule="exact"/>
              <w:ind w:left="3635" w:right="3628"/>
              <w:jc w:val="center"/>
              <w:rPr>
                <w:b/>
              </w:rPr>
            </w:pPr>
            <w:r>
              <w:rPr>
                <w:b/>
                <w:color w:val="FFFFFF"/>
              </w:rPr>
              <w:t>ISNetworld Grading Components</w:t>
            </w:r>
          </w:p>
        </w:tc>
      </w:tr>
      <w:tr w:rsidR="00C53711" w14:paraId="0BE79CD9" w14:textId="77777777">
        <w:trPr>
          <w:trHeight w:val="976"/>
        </w:trPr>
        <w:tc>
          <w:tcPr>
            <w:tcW w:w="3727" w:type="dxa"/>
          </w:tcPr>
          <w:p w14:paraId="312E3BBF" w14:textId="77777777" w:rsidR="00C53711" w:rsidRDefault="0092529C">
            <w:pPr>
              <w:pStyle w:val="TableParagraph"/>
              <w:spacing w:before="1" w:line="243" w:lineRule="exact"/>
              <w:ind w:left="107"/>
              <w:rPr>
                <w:sz w:val="20"/>
              </w:rPr>
            </w:pPr>
            <w:r>
              <w:rPr>
                <w:sz w:val="20"/>
              </w:rPr>
              <w:t>Fatalities</w:t>
            </w:r>
          </w:p>
          <w:p w14:paraId="55B6EB39" w14:textId="77777777" w:rsidR="00C53711" w:rsidRDefault="0092529C">
            <w:pPr>
              <w:pStyle w:val="TableParagraph"/>
              <w:ind w:left="107" w:right="1640"/>
              <w:rPr>
                <w:sz w:val="20"/>
              </w:rPr>
            </w:pPr>
            <w:r>
              <w:rPr>
                <w:sz w:val="20"/>
              </w:rPr>
              <w:t xml:space="preserve">Incident </w:t>
            </w:r>
            <w:proofErr w:type="gramStart"/>
            <w:r>
              <w:rPr>
                <w:sz w:val="20"/>
              </w:rPr>
              <w:t>Rate(</w:t>
            </w:r>
            <w:proofErr w:type="gramEnd"/>
            <w:r>
              <w:rPr>
                <w:sz w:val="20"/>
              </w:rPr>
              <w:t>TRIR) Company 3 Year History</w:t>
            </w:r>
          </w:p>
        </w:tc>
        <w:tc>
          <w:tcPr>
            <w:tcW w:w="3115" w:type="dxa"/>
          </w:tcPr>
          <w:p w14:paraId="656AC591" w14:textId="77777777" w:rsidR="00C53711" w:rsidRDefault="0092529C">
            <w:pPr>
              <w:pStyle w:val="TableParagraph"/>
              <w:spacing w:before="1"/>
              <w:ind w:left="107" w:right="1461"/>
              <w:rPr>
                <w:sz w:val="20"/>
              </w:rPr>
            </w:pPr>
            <w:r>
              <w:rPr>
                <w:sz w:val="20"/>
              </w:rPr>
              <w:t>HSE Questionnaire Citations</w:t>
            </w:r>
          </w:p>
        </w:tc>
        <w:tc>
          <w:tcPr>
            <w:tcW w:w="3480" w:type="dxa"/>
          </w:tcPr>
          <w:p w14:paraId="4C2A400A" w14:textId="77777777" w:rsidR="00C53711" w:rsidRDefault="0092529C">
            <w:pPr>
              <w:pStyle w:val="TableParagraph"/>
              <w:spacing w:before="1"/>
              <w:ind w:left="108" w:right="741"/>
              <w:rPr>
                <w:sz w:val="20"/>
              </w:rPr>
            </w:pPr>
            <w:r>
              <w:rPr>
                <w:sz w:val="20"/>
              </w:rPr>
              <w:t xml:space="preserve">Experience Modifier </w:t>
            </w:r>
            <w:proofErr w:type="gramStart"/>
            <w:r>
              <w:rPr>
                <w:sz w:val="20"/>
              </w:rPr>
              <w:t>Rate(</w:t>
            </w:r>
            <w:proofErr w:type="gramEnd"/>
            <w:r>
              <w:rPr>
                <w:sz w:val="20"/>
              </w:rPr>
              <w:t>EMR) Written Safety Programs (RAVS)</w:t>
            </w:r>
          </w:p>
        </w:tc>
      </w:tr>
    </w:tbl>
    <w:p w14:paraId="4F78E2CF" w14:textId="77777777" w:rsidR="00C53711" w:rsidRDefault="00C53711">
      <w:pPr>
        <w:pStyle w:val="BodyText"/>
        <w:spacing w:before="7"/>
        <w:rPr>
          <w:sz w:val="19"/>
        </w:rPr>
      </w:pPr>
    </w:p>
    <w:p w14:paraId="6BA1FEF5" w14:textId="77777777" w:rsidR="00C53711" w:rsidRDefault="0092529C">
      <w:pPr>
        <w:pStyle w:val="BodyText"/>
        <w:spacing w:line="276" w:lineRule="auto"/>
        <w:ind w:left="219" w:right="325"/>
      </w:pPr>
      <w:r>
        <w:t>The refinery strives to use contractors with an outstanding safety performance. However, where the evaluation indicates gaps in the contract company’s safety performance, the refinery shall work with the contractor to address areas of concern to provide support and oversight as necessary to ensure a safe and successful execution of their on-site service. This increased oversight may require development and implementation of more stringent safe work practices. The increased measures initiated by the refinery shall be proportional to the potential risk implied by the contracted work.</w:t>
      </w:r>
    </w:p>
    <w:p w14:paraId="40BEDC17" w14:textId="77777777" w:rsidR="00C53711" w:rsidRDefault="00C53711">
      <w:pPr>
        <w:pStyle w:val="BodyText"/>
        <w:spacing w:before="3"/>
        <w:rPr>
          <w:sz w:val="16"/>
        </w:rPr>
      </w:pPr>
    </w:p>
    <w:p w14:paraId="750E2529" w14:textId="77777777" w:rsidR="00C53711" w:rsidRDefault="0092529C">
      <w:pPr>
        <w:pStyle w:val="BodyText"/>
        <w:spacing w:line="276" w:lineRule="auto"/>
        <w:ind w:left="219"/>
      </w:pPr>
      <w:r>
        <w:t>There are circumstances that may exclude the requirement for ISNetworld participation. These situations will be evaluated on a case by case basis. Example situations may include duration of job, cost of job, and size of company. Consult with your refinery job rep/point of contact for additional details.</w:t>
      </w:r>
    </w:p>
    <w:p w14:paraId="3AB488AF" w14:textId="77777777" w:rsidR="00C53711" w:rsidRDefault="00C53711">
      <w:pPr>
        <w:pStyle w:val="BodyText"/>
        <w:spacing w:before="6"/>
        <w:rPr>
          <w:sz w:val="16"/>
        </w:rPr>
      </w:pPr>
    </w:p>
    <w:p w14:paraId="3AEC85E7" w14:textId="53D36069" w:rsidR="00C53711" w:rsidRDefault="0092529C">
      <w:pPr>
        <w:pStyle w:val="BodyText"/>
        <w:ind w:left="219"/>
      </w:pPr>
      <w:r>
        <w:t>All fees and expenses related to ISNetworld is the responsibility of the contract company.</w:t>
      </w:r>
    </w:p>
    <w:p w14:paraId="6F268F9B" w14:textId="356029FE" w:rsidR="0013410C" w:rsidRDefault="0013410C">
      <w:pPr>
        <w:pStyle w:val="BodyText"/>
        <w:ind w:left="219"/>
      </w:pPr>
    </w:p>
    <w:p w14:paraId="4537B257" w14:textId="04C18EDF" w:rsidR="0013410C" w:rsidRDefault="0013410C">
      <w:pPr>
        <w:pStyle w:val="BodyText"/>
        <w:ind w:left="219"/>
      </w:pPr>
    </w:p>
    <w:p w14:paraId="1092BDA2" w14:textId="6881A14D" w:rsidR="0013410C" w:rsidRDefault="0013410C">
      <w:pPr>
        <w:pStyle w:val="BodyText"/>
        <w:ind w:left="219"/>
      </w:pPr>
    </w:p>
    <w:p w14:paraId="501602AE" w14:textId="7771A2C7" w:rsidR="0013410C" w:rsidRDefault="0013410C">
      <w:pPr>
        <w:pStyle w:val="BodyText"/>
        <w:ind w:left="219"/>
      </w:pPr>
    </w:p>
    <w:p w14:paraId="5D7E96C4" w14:textId="5C6ABB63" w:rsidR="0013410C" w:rsidRDefault="0013410C">
      <w:pPr>
        <w:pStyle w:val="BodyText"/>
        <w:ind w:left="219"/>
      </w:pPr>
    </w:p>
    <w:p w14:paraId="05A3AB2C" w14:textId="72EA612B" w:rsidR="0013410C" w:rsidRDefault="0013410C">
      <w:pPr>
        <w:pStyle w:val="BodyText"/>
        <w:ind w:left="219"/>
      </w:pPr>
    </w:p>
    <w:p w14:paraId="249E9294" w14:textId="7269F73A" w:rsidR="0013410C" w:rsidRDefault="0013410C">
      <w:pPr>
        <w:pStyle w:val="BodyText"/>
        <w:ind w:left="219"/>
      </w:pPr>
    </w:p>
    <w:p w14:paraId="663E6680" w14:textId="77777777" w:rsidR="0013410C" w:rsidRDefault="0013410C">
      <w:pPr>
        <w:pStyle w:val="BodyText"/>
        <w:ind w:left="219"/>
      </w:pPr>
    </w:p>
    <w:p w14:paraId="7DB34C67" w14:textId="1969A25D" w:rsidR="0013410C" w:rsidRDefault="0013410C">
      <w:pPr>
        <w:pStyle w:val="BodyText"/>
        <w:ind w:left="219"/>
      </w:pPr>
    </w:p>
    <w:p w14:paraId="22698BEF" w14:textId="7072DC95" w:rsidR="0013410C" w:rsidRPr="0048090F" w:rsidRDefault="0013410C" w:rsidP="0048090F">
      <w:pPr>
        <w:pStyle w:val="Heading1"/>
      </w:pPr>
      <w:bookmarkStart w:id="9" w:name="_Toc62558756"/>
      <w:r>
        <w:lastRenderedPageBreak/>
        <w:t xml:space="preserve">Drug </w:t>
      </w:r>
      <w:r w:rsidR="0048090F">
        <w:t xml:space="preserve">and </w:t>
      </w:r>
      <w:r>
        <w:t>Alcohol Screening</w:t>
      </w:r>
      <w:r w:rsidR="0048090F">
        <w:t>,</w:t>
      </w:r>
      <w:r>
        <w:t xml:space="preserve"> and Background Checks</w:t>
      </w:r>
      <w:bookmarkEnd w:id="9"/>
      <w:r>
        <w:t xml:space="preserve"> </w:t>
      </w:r>
    </w:p>
    <w:p w14:paraId="6FB37D14" w14:textId="051B1B8F" w:rsidR="0013410C" w:rsidRPr="0048090F" w:rsidRDefault="0013410C">
      <w:pPr>
        <w:pStyle w:val="BodyText"/>
        <w:ind w:left="219"/>
      </w:pPr>
      <w:r w:rsidRPr="0048090F">
        <w:rPr>
          <w:rFonts w:ascii="Segoe UI" w:hAnsi="Segoe UI" w:cs="Segoe UI"/>
          <w:sz w:val="21"/>
          <w:szCs w:val="21"/>
        </w:rPr>
        <w:t>Participation in an approved Drug and Alcohol testing program (OSCA</w:t>
      </w:r>
      <w:r w:rsidR="007F4EE6">
        <w:rPr>
          <w:rFonts w:ascii="Segoe UI" w:hAnsi="Segoe UI" w:cs="Segoe UI"/>
          <w:sz w:val="21"/>
          <w:szCs w:val="21"/>
        </w:rPr>
        <w:t xml:space="preserve"> or </w:t>
      </w:r>
      <w:r w:rsidRPr="0048090F">
        <w:rPr>
          <w:rFonts w:ascii="Segoe UI" w:hAnsi="Segoe UI" w:cs="Segoe UI"/>
          <w:sz w:val="21"/>
          <w:szCs w:val="21"/>
        </w:rPr>
        <w:t>DISA) is required for any contract or subcontract employee accessing the refinery to perform work. Contract employees must deliver evidence of active enrollment to Security at time of badging. Failure to produce evidence of enrollment will result in not receiving a badge. Examples of evidence may include: A printed screenshot of OSCA/ASAP or DISA showing active status.</w:t>
      </w:r>
    </w:p>
    <w:p w14:paraId="1ED9D114" w14:textId="77777777" w:rsidR="00C53711" w:rsidRDefault="00C53711">
      <w:pPr>
        <w:pStyle w:val="BodyText"/>
        <w:spacing w:before="2"/>
        <w:rPr>
          <w:sz w:val="23"/>
        </w:rPr>
      </w:pPr>
    </w:p>
    <w:p w14:paraId="25369DCC" w14:textId="77777777" w:rsidR="00C53711" w:rsidRDefault="0092529C">
      <w:pPr>
        <w:pStyle w:val="Heading1"/>
      </w:pPr>
      <w:bookmarkStart w:id="10" w:name="Tang_&amp;_Company_Participation"/>
      <w:bookmarkStart w:id="11" w:name="_Toc62558757"/>
      <w:bookmarkEnd w:id="10"/>
      <w:r>
        <w:t>Tang &amp; Company Participation</w:t>
      </w:r>
      <w:bookmarkEnd w:id="11"/>
    </w:p>
    <w:p w14:paraId="769C4B38" w14:textId="3DEB6847" w:rsidR="00C53711" w:rsidRDefault="0092529C" w:rsidP="00F0030A">
      <w:pPr>
        <w:pStyle w:val="BodyText"/>
        <w:spacing w:before="64" w:line="276" w:lineRule="auto"/>
        <w:ind w:left="219" w:right="351"/>
      </w:pPr>
      <w:r>
        <w:t>Tang &amp; Company is</w:t>
      </w:r>
      <w:r w:rsidR="00605B5E">
        <w:t xml:space="preserve"> a</w:t>
      </w:r>
      <w:r>
        <w:t xml:space="preserve"> 3rd party administrator for required training, drug and alcohol screening, and background checks. There are two areas within Tang &amp; Company which a contract company may be required to participate. Occupational Safety Councils of America (OSCA) handles the required training and ASAP Drug Solutions handles the drug and alcohol screening and background check</w:t>
      </w:r>
      <w:r w:rsidR="00867AA8">
        <w:t>.</w:t>
      </w:r>
      <w:r w:rsidR="002B093D">
        <w:t xml:space="preserve"> </w:t>
      </w:r>
      <w:r>
        <w:t>When your account is set up, your company administrator will be able to schedule required training and track status of requirements. It is important that the requirements remain active to avoid any distribution of work activities.</w:t>
      </w:r>
    </w:p>
    <w:p w14:paraId="64FE9469" w14:textId="77777777" w:rsidR="00C53711" w:rsidRDefault="0092529C">
      <w:pPr>
        <w:pStyle w:val="BodyText"/>
        <w:spacing w:before="5" w:line="276" w:lineRule="auto"/>
        <w:ind w:left="219"/>
      </w:pPr>
      <w:r>
        <w:t>Access to the refinery will only be granted if all requirements are current and active. This includes training documentation, drug and alcohol screening, and background checks.</w:t>
      </w:r>
    </w:p>
    <w:p w14:paraId="15905DBC" w14:textId="77777777" w:rsidR="00C53711" w:rsidRDefault="00C53711">
      <w:pPr>
        <w:pStyle w:val="BodyText"/>
        <w:spacing w:before="5"/>
        <w:rPr>
          <w:sz w:val="16"/>
        </w:rPr>
      </w:pPr>
    </w:p>
    <w:p w14:paraId="5E68A3C0" w14:textId="77777777" w:rsidR="00C53711" w:rsidRDefault="0092529C">
      <w:pPr>
        <w:pStyle w:val="BodyText"/>
        <w:ind w:left="219"/>
      </w:pPr>
      <w:r>
        <w:t xml:space="preserve">Contract companies can establish an account by visiting </w:t>
      </w:r>
      <w:hyperlink r:id="rId13">
        <w:r>
          <w:rPr>
            <w:color w:val="0000FF"/>
            <w:u w:val="single" w:color="0000FF"/>
          </w:rPr>
          <w:t>www.tangandcompany.com</w:t>
        </w:r>
        <w:r>
          <w:rPr>
            <w:color w:val="0000FF"/>
          </w:rPr>
          <w:t xml:space="preserve"> </w:t>
        </w:r>
      </w:hyperlink>
      <w:r>
        <w:t>or by calling (866) 699-2727 or</w:t>
      </w:r>
    </w:p>
    <w:p w14:paraId="6F5EEE44" w14:textId="77777777" w:rsidR="00C53711" w:rsidRDefault="0092529C">
      <w:pPr>
        <w:pStyle w:val="BodyText"/>
        <w:spacing w:before="39" w:line="276" w:lineRule="auto"/>
        <w:ind w:left="220" w:right="620"/>
      </w:pPr>
      <w:r>
        <w:t>(562) 624-2720. You can also request the Tang and Company Enrollment Package from your refinery point of contact.</w:t>
      </w:r>
    </w:p>
    <w:p w14:paraId="27E787AA" w14:textId="77777777" w:rsidR="00C53711" w:rsidRDefault="00C53711">
      <w:pPr>
        <w:pStyle w:val="BodyText"/>
        <w:spacing w:before="5"/>
        <w:rPr>
          <w:sz w:val="16"/>
        </w:rPr>
      </w:pPr>
    </w:p>
    <w:p w14:paraId="784C3A07" w14:textId="0E8FAC0B" w:rsidR="00C53711" w:rsidRDefault="0092529C">
      <w:pPr>
        <w:pStyle w:val="BodyText"/>
        <w:ind w:left="220"/>
      </w:pPr>
      <w:r>
        <w:t>All fees and expenses related to Tang &amp; Company participation is the responsibility of the contract company.</w:t>
      </w:r>
    </w:p>
    <w:p w14:paraId="38C7D46C" w14:textId="652D1670" w:rsidR="0045500B" w:rsidRDefault="0045500B">
      <w:pPr>
        <w:pStyle w:val="BodyText"/>
        <w:ind w:left="220"/>
      </w:pPr>
    </w:p>
    <w:p w14:paraId="489CCBB4" w14:textId="69A29969" w:rsidR="004343B4" w:rsidRDefault="004343B4" w:rsidP="004343B4">
      <w:pPr>
        <w:pStyle w:val="Heading1"/>
      </w:pPr>
      <w:bookmarkStart w:id="12" w:name="_Toc62558758"/>
      <w:r>
        <w:t>DISA</w:t>
      </w:r>
      <w:r w:rsidR="00867AA8">
        <w:t xml:space="preserve"> Global Solutions</w:t>
      </w:r>
      <w:r>
        <w:t xml:space="preserve"> Participation</w:t>
      </w:r>
      <w:bookmarkEnd w:id="12"/>
    </w:p>
    <w:p w14:paraId="16195B00" w14:textId="213A4239" w:rsidR="00A978B8" w:rsidRDefault="004343B4" w:rsidP="00A978B8">
      <w:pPr>
        <w:pStyle w:val="BodyText"/>
        <w:spacing w:before="64" w:line="276" w:lineRule="auto"/>
        <w:ind w:left="219" w:right="351"/>
      </w:pPr>
      <w:r>
        <w:t xml:space="preserve">DISA </w:t>
      </w:r>
      <w:r w:rsidR="00867AA8">
        <w:t xml:space="preserve">is </w:t>
      </w:r>
      <w:r w:rsidR="00605B5E">
        <w:t>a 3</w:t>
      </w:r>
      <w:r>
        <w:t xml:space="preserve">rd party administrator </w:t>
      </w:r>
      <w:r w:rsidR="00EF6CBD">
        <w:t>utilized for</w:t>
      </w:r>
      <w:r w:rsidR="00605B5E">
        <w:t xml:space="preserve"> </w:t>
      </w:r>
      <w:r>
        <w:t>drug and alcohol screening and background checks.</w:t>
      </w:r>
      <w:r w:rsidR="008437FA">
        <w:t xml:space="preserve"> </w:t>
      </w:r>
      <w:r w:rsidR="00867AA8">
        <w:t xml:space="preserve">Required training must still be satisfied with OSCA.  </w:t>
      </w:r>
      <w:r w:rsidR="00605B5E">
        <w:t xml:space="preserve">Contract companies can establish an account by visiting </w:t>
      </w:r>
      <w:hyperlink r:id="rId14">
        <w:r w:rsidR="00867AA8" w:rsidRPr="7B057027">
          <w:rPr>
            <w:rStyle w:val="Hyperlink"/>
          </w:rPr>
          <w:t>www.disa.com</w:t>
        </w:r>
      </w:hyperlink>
      <w:r w:rsidR="00867AA8">
        <w:t xml:space="preserve"> </w:t>
      </w:r>
      <w:r w:rsidR="00605B5E">
        <w:t>or by calling</w:t>
      </w:r>
      <w:r w:rsidR="00867AA8">
        <w:t xml:space="preserve"> (281) 673-2530</w:t>
      </w:r>
      <w:r w:rsidR="4FC9CA36">
        <w:t xml:space="preserve"> for D&amp;A and Background checks</w:t>
      </w:r>
      <w:r w:rsidR="00867AA8">
        <w:t xml:space="preserve">. </w:t>
      </w:r>
    </w:p>
    <w:p w14:paraId="3D4F9445" w14:textId="0FB9E39A" w:rsidR="00867AA8" w:rsidRDefault="00867AA8" w:rsidP="00867AA8">
      <w:pPr>
        <w:pStyle w:val="BodyText"/>
        <w:spacing w:before="64" w:line="276" w:lineRule="auto"/>
        <w:ind w:left="219" w:right="351"/>
      </w:pPr>
      <w:r>
        <w:t>All fees and expenses related to DISA Global Solutions participation is the responsibility of the contract company.</w:t>
      </w:r>
    </w:p>
    <w:p w14:paraId="259B666F" w14:textId="1D043851" w:rsidR="006F5BE7" w:rsidRDefault="00605B5E" w:rsidP="7B057027">
      <w:pPr>
        <w:pStyle w:val="BodyText"/>
        <w:spacing w:before="39" w:line="276" w:lineRule="auto"/>
        <w:ind w:left="220" w:right="620"/>
      </w:pPr>
      <w:r>
        <w:t xml:space="preserve"> </w:t>
      </w:r>
    </w:p>
    <w:p w14:paraId="1F5B245E" w14:textId="77777777" w:rsidR="00C53711" w:rsidRDefault="00C53711">
      <w:pPr>
        <w:pStyle w:val="BodyText"/>
        <w:spacing w:before="2"/>
        <w:rPr>
          <w:sz w:val="23"/>
        </w:rPr>
      </w:pPr>
    </w:p>
    <w:p w14:paraId="068EED83" w14:textId="77777777" w:rsidR="00C53711" w:rsidRDefault="0092529C">
      <w:pPr>
        <w:pStyle w:val="Heading1"/>
      </w:pPr>
      <w:bookmarkStart w:id="13" w:name="Contract_Company_Safety_Representative"/>
      <w:bookmarkStart w:id="14" w:name="_Toc62558759"/>
      <w:bookmarkEnd w:id="13"/>
      <w:r>
        <w:t>Contract Company Safety Representative</w:t>
      </w:r>
      <w:bookmarkEnd w:id="14"/>
    </w:p>
    <w:p w14:paraId="343A7961" w14:textId="77777777" w:rsidR="00C53711" w:rsidRDefault="0092529C">
      <w:pPr>
        <w:pStyle w:val="BodyText"/>
        <w:spacing w:before="63" w:line="276" w:lineRule="auto"/>
        <w:ind w:left="220" w:right="681"/>
      </w:pPr>
      <w:r>
        <w:t>A dedicated full time Contract Company Safety Representative may be required at the discretion of the refinery Health and Safety department. Justification for this requirement may be due to the following factors, but not limited to:</w:t>
      </w:r>
    </w:p>
    <w:p w14:paraId="424F6052" w14:textId="77777777" w:rsidR="00C53711" w:rsidRDefault="00C53711">
      <w:pPr>
        <w:pStyle w:val="BodyText"/>
        <w:spacing w:before="3"/>
        <w:rPr>
          <w:sz w:val="8"/>
        </w:rPr>
      </w:pPr>
    </w:p>
    <w:p w14:paraId="7A2EFAB5" w14:textId="77777777" w:rsidR="00C53711" w:rsidRDefault="00C53711">
      <w:pPr>
        <w:rPr>
          <w:sz w:val="8"/>
        </w:rPr>
        <w:sectPr w:rsidR="00C53711">
          <w:pgSz w:w="12240" w:h="15840"/>
          <w:pgMar w:top="1700" w:right="680" w:bottom="620" w:left="680" w:header="725" w:footer="438" w:gutter="0"/>
          <w:cols w:space="720"/>
        </w:sectPr>
      </w:pPr>
    </w:p>
    <w:p w14:paraId="7754F88C" w14:textId="77777777" w:rsidR="00C53711" w:rsidRDefault="0092529C">
      <w:pPr>
        <w:pStyle w:val="ListParagraph"/>
        <w:numPr>
          <w:ilvl w:val="0"/>
          <w:numId w:val="2"/>
        </w:numPr>
        <w:tabs>
          <w:tab w:val="left" w:pos="940"/>
          <w:tab w:val="left" w:pos="941"/>
        </w:tabs>
        <w:spacing w:before="101"/>
        <w:ind w:hanging="360"/>
      </w:pPr>
      <w:r>
        <w:t>Personnel working with a covered</w:t>
      </w:r>
      <w:r>
        <w:rPr>
          <w:spacing w:val="-13"/>
        </w:rPr>
        <w:t xml:space="preserve"> </w:t>
      </w:r>
      <w:r>
        <w:t>process</w:t>
      </w:r>
    </w:p>
    <w:p w14:paraId="11D00A60" w14:textId="77777777" w:rsidR="00C53711" w:rsidRDefault="0092529C">
      <w:pPr>
        <w:pStyle w:val="ListParagraph"/>
        <w:numPr>
          <w:ilvl w:val="0"/>
          <w:numId w:val="2"/>
        </w:numPr>
        <w:tabs>
          <w:tab w:val="left" w:pos="940"/>
          <w:tab w:val="left" w:pos="941"/>
        </w:tabs>
        <w:spacing w:line="276" w:lineRule="auto"/>
        <w:ind w:right="155" w:hanging="360"/>
      </w:pPr>
      <w:r>
        <w:t>Personnel working adjacent to a covered process</w:t>
      </w:r>
    </w:p>
    <w:p w14:paraId="752AAD8F" w14:textId="77777777" w:rsidR="00C53711" w:rsidRDefault="0092529C">
      <w:pPr>
        <w:pStyle w:val="ListParagraph"/>
        <w:numPr>
          <w:ilvl w:val="0"/>
          <w:numId w:val="2"/>
        </w:numPr>
        <w:tabs>
          <w:tab w:val="left" w:pos="940"/>
          <w:tab w:val="left" w:pos="941"/>
        </w:tabs>
        <w:spacing w:before="0" w:line="280" w:lineRule="exact"/>
        <w:ind w:hanging="360"/>
      </w:pPr>
      <w:r>
        <w:t>Significant refinery project</w:t>
      </w:r>
      <w:r>
        <w:rPr>
          <w:spacing w:val="-5"/>
        </w:rPr>
        <w:t xml:space="preserve"> </w:t>
      </w:r>
      <w:r>
        <w:t>activities</w:t>
      </w:r>
    </w:p>
    <w:p w14:paraId="015138FF" w14:textId="77777777" w:rsidR="00C53711" w:rsidRDefault="0092529C">
      <w:pPr>
        <w:pStyle w:val="ListParagraph"/>
        <w:numPr>
          <w:ilvl w:val="0"/>
          <w:numId w:val="2"/>
        </w:numPr>
        <w:tabs>
          <w:tab w:val="left" w:pos="940"/>
          <w:tab w:val="left" w:pos="941"/>
        </w:tabs>
        <w:spacing w:before="42"/>
        <w:ind w:hanging="360"/>
      </w:pPr>
      <w:r>
        <w:t>Current or previous safety</w:t>
      </w:r>
      <w:r>
        <w:rPr>
          <w:spacing w:val="-6"/>
        </w:rPr>
        <w:t xml:space="preserve"> </w:t>
      </w:r>
      <w:r>
        <w:t>performance</w:t>
      </w:r>
    </w:p>
    <w:p w14:paraId="24042D6F" w14:textId="77777777" w:rsidR="00C53711" w:rsidRDefault="0092529C">
      <w:pPr>
        <w:pStyle w:val="ListParagraph"/>
        <w:numPr>
          <w:ilvl w:val="0"/>
          <w:numId w:val="2"/>
        </w:numPr>
        <w:tabs>
          <w:tab w:val="left" w:pos="940"/>
          <w:tab w:val="left" w:pos="941"/>
        </w:tabs>
        <w:spacing w:before="102"/>
        <w:ind w:hanging="360"/>
      </w:pPr>
      <w:r>
        <w:rPr>
          <w:spacing w:val="-1"/>
        </w:rPr>
        <w:br w:type="column"/>
      </w:r>
      <w:r>
        <w:t>Job Hazards - Medium or High-risk</w:t>
      </w:r>
      <w:r>
        <w:rPr>
          <w:spacing w:val="-10"/>
        </w:rPr>
        <w:t xml:space="preserve"> </w:t>
      </w:r>
      <w:r>
        <w:t>tasks/jobs</w:t>
      </w:r>
    </w:p>
    <w:p w14:paraId="4F4FC7E7" w14:textId="77777777" w:rsidR="00C53711" w:rsidRDefault="0092529C">
      <w:pPr>
        <w:pStyle w:val="ListParagraph"/>
        <w:numPr>
          <w:ilvl w:val="0"/>
          <w:numId w:val="2"/>
        </w:numPr>
        <w:tabs>
          <w:tab w:val="left" w:pos="940"/>
          <w:tab w:val="left" w:pos="941"/>
        </w:tabs>
        <w:ind w:hanging="360"/>
      </w:pPr>
      <w:r>
        <w:t>Requirement per Contractor</w:t>
      </w:r>
      <w:r>
        <w:rPr>
          <w:spacing w:val="-4"/>
        </w:rPr>
        <w:t xml:space="preserve"> </w:t>
      </w:r>
      <w:r>
        <w:t>variance</w:t>
      </w:r>
    </w:p>
    <w:p w14:paraId="42B4C052" w14:textId="77777777" w:rsidR="00C53711" w:rsidRDefault="0092529C">
      <w:pPr>
        <w:pStyle w:val="ListParagraph"/>
        <w:numPr>
          <w:ilvl w:val="0"/>
          <w:numId w:val="2"/>
        </w:numPr>
        <w:tabs>
          <w:tab w:val="left" w:pos="940"/>
          <w:tab w:val="left" w:pos="941"/>
        </w:tabs>
        <w:spacing w:before="41" w:line="273" w:lineRule="auto"/>
        <w:ind w:right="578" w:hanging="360"/>
      </w:pPr>
      <w:r>
        <w:t>Simultaneous Operations (SIMOPS) due to other refinery projects or work</w:t>
      </w:r>
      <w:r>
        <w:rPr>
          <w:spacing w:val="-9"/>
        </w:rPr>
        <w:t xml:space="preserve"> </w:t>
      </w:r>
      <w:r>
        <w:t>loads</w:t>
      </w:r>
    </w:p>
    <w:p w14:paraId="2B42F264" w14:textId="77777777" w:rsidR="00C53711" w:rsidRDefault="00C53711">
      <w:pPr>
        <w:spacing w:line="273" w:lineRule="auto"/>
        <w:sectPr w:rsidR="00C53711">
          <w:type w:val="continuous"/>
          <w:pgSz w:w="12240" w:h="15840"/>
          <w:pgMar w:top="1700" w:right="680" w:bottom="620" w:left="680" w:header="720" w:footer="720" w:gutter="0"/>
          <w:cols w:num="2" w:space="720" w:equalWidth="0">
            <w:col w:w="4749" w:space="831"/>
            <w:col w:w="5300"/>
          </w:cols>
        </w:sectPr>
      </w:pPr>
    </w:p>
    <w:p w14:paraId="372B25E2" w14:textId="55E600BB" w:rsidR="00C53711" w:rsidRDefault="6A55B634" w:rsidP="7B057027">
      <w:pPr>
        <w:pStyle w:val="Heading2"/>
      </w:pPr>
      <w:r w:rsidRPr="7B057027">
        <w:rPr>
          <w:rFonts w:ascii="Tahoma" w:eastAsia="Tahoma" w:hAnsi="Tahoma" w:cs="Tahoma"/>
          <w:sz w:val="22"/>
          <w:szCs w:val="22"/>
        </w:rPr>
        <w:lastRenderedPageBreak/>
        <w:t>1.1</w:t>
      </w:r>
      <w:r w:rsidRPr="7B057027">
        <w:rPr>
          <w:rFonts w:ascii="Times New Roman" w:eastAsia="Times New Roman" w:hAnsi="Times New Roman" w:cs="Times New Roman"/>
          <w:sz w:val="14"/>
          <w:szCs w:val="14"/>
        </w:rPr>
        <w:t xml:space="preserve">         </w:t>
      </w:r>
      <w:r w:rsidRPr="7B057027">
        <w:rPr>
          <w:rFonts w:ascii="Tahoma" w:eastAsia="Tahoma" w:hAnsi="Tahoma" w:cs="Tahoma"/>
          <w:u w:val="single"/>
        </w:rPr>
        <w:t>Safety Representatives/Professionals</w:t>
      </w:r>
    </w:p>
    <w:p w14:paraId="6B13864C" w14:textId="1C7B5990" w:rsidR="00C53711" w:rsidRDefault="6A55B634" w:rsidP="7B057027">
      <w:r w:rsidRPr="7B057027">
        <w:rPr>
          <w:rFonts w:ascii="Arial" w:eastAsia="Arial" w:hAnsi="Arial" w:cs="Arial"/>
          <w:color w:val="00B050"/>
        </w:rPr>
        <w:t xml:space="preserve"> </w:t>
      </w:r>
    </w:p>
    <w:tbl>
      <w:tblPr>
        <w:tblStyle w:val="TableGrid"/>
        <w:tblW w:w="0" w:type="auto"/>
        <w:tblLayout w:type="fixed"/>
        <w:tblLook w:val="04A0" w:firstRow="1" w:lastRow="0" w:firstColumn="1" w:lastColumn="0" w:noHBand="0" w:noVBand="1"/>
      </w:tblPr>
      <w:tblGrid>
        <w:gridCol w:w="5440"/>
        <w:gridCol w:w="5440"/>
      </w:tblGrid>
      <w:tr w:rsidR="7B057027" w14:paraId="03761E09" w14:textId="77777777" w:rsidTr="7B057027">
        <w:tc>
          <w:tcPr>
            <w:tcW w:w="5440" w:type="dxa"/>
          </w:tcPr>
          <w:p w14:paraId="7EBE1BB3" w14:textId="366310F8" w:rsidR="7B057027" w:rsidRDefault="7B057027">
            <w:r w:rsidRPr="7B057027">
              <w:rPr>
                <w:rFonts w:ascii="Arial Black" w:eastAsia="Arial Black" w:hAnsi="Arial Black" w:cs="Arial Black"/>
                <w:b/>
                <w:bCs/>
                <w:color w:val="FFFFFF" w:themeColor="background1"/>
              </w:rPr>
              <w:t>Contractor Safety Professional Staffing Requirement</w:t>
            </w:r>
          </w:p>
        </w:tc>
        <w:tc>
          <w:tcPr>
            <w:tcW w:w="5440" w:type="dxa"/>
          </w:tcPr>
          <w:p w14:paraId="7CD06164" w14:textId="472BA526" w:rsidR="7B057027" w:rsidRDefault="7B057027"/>
        </w:tc>
      </w:tr>
      <w:tr w:rsidR="7B057027" w14:paraId="35E61451" w14:textId="77777777" w:rsidTr="7B057027">
        <w:tc>
          <w:tcPr>
            <w:tcW w:w="5440" w:type="dxa"/>
          </w:tcPr>
          <w:p w14:paraId="6FF3E3AD" w14:textId="2341C2BA" w:rsidR="7B057027" w:rsidRDefault="7B057027">
            <w:r w:rsidRPr="7B057027">
              <w:rPr>
                <w:rFonts w:ascii="Tahoma" w:eastAsia="Tahoma" w:hAnsi="Tahoma" w:cs="Tahoma"/>
                <w:b/>
                <w:bCs/>
              </w:rPr>
              <w:t>Safety Professionals</w:t>
            </w:r>
          </w:p>
          <w:p w14:paraId="6DC38E5D" w14:textId="5DA9EA9F" w:rsidR="7B057027" w:rsidRDefault="7B057027">
            <w:r w:rsidRPr="7B057027">
              <w:rPr>
                <w:rFonts w:ascii="Tahoma" w:eastAsia="Tahoma" w:hAnsi="Tahoma" w:cs="Tahoma"/>
                <w:b/>
                <w:bCs/>
              </w:rPr>
              <w:t>(Number)</w:t>
            </w:r>
          </w:p>
        </w:tc>
        <w:tc>
          <w:tcPr>
            <w:tcW w:w="5440" w:type="dxa"/>
          </w:tcPr>
          <w:p w14:paraId="1217554D" w14:textId="4F6622EB" w:rsidR="7B057027" w:rsidRDefault="7B057027">
            <w:r w:rsidRPr="7B057027">
              <w:rPr>
                <w:rFonts w:ascii="Tahoma" w:eastAsia="Tahoma" w:hAnsi="Tahoma" w:cs="Tahoma"/>
                <w:b/>
                <w:bCs/>
              </w:rPr>
              <w:t>Work Force Size</w:t>
            </w:r>
          </w:p>
          <w:p w14:paraId="5BDE90C7" w14:textId="1D863E2A" w:rsidR="7B057027" w:rsidRDefault="7B057027">
            <w:r w:rsidRPr="7B057027">
              <w:rPr>
                <w:rFonts w:ascii="Tahoma" w:eastAsia="Tahoma" w:hAnsi="Tahoma" w:cs="Tahoma"/>
                <w:b/>
                <w:bCs/>
              </w:rPr>
              <w:t>(All Employees)</w:t>
            </w:r>
          </w:p>
        </w:tc>
      </w:tr>
      <w:tr w:rsidR="7B057027" w14:paraId="12448F26" w14:textId="77777777" w:rsidTr="7B057027">
        <w:tc>
          <w:tcPr>
            <w:tcW w:w="5440" w:type="dxa"/>
          </w:tcPr>
          <w:p w14:paraId="595CF915" w14:textId="458DA586" w:rsidR="7B057027" w:rsidRDefault="7B057027" w:rsidP="7B057027">
            <w:pPr>
              <w:rPr>
                <w:rFonts w:ascii="Arial" w:eastAsia="Arial" w:hAnsi="Arial" w:cs="Arial"/>
                <w:b/>
                <w:bCs/>
              </w:rPr>
            </w:pPr>
            <w:r w:rsidRPr="7B057027">
              <w:rPr>
                <w:rFonts w:ascii="Arial" w:eastAsia="Arial" w:hAnsi="Arial" w:cs="Arial"/>
                <w:b/>
                <w:bCs/>
              </w:rPr>
              <w:t xml:space="preserve">Dual Role </w:t>
            </w:r>
            <w:r>
              <w:rPr>
                <w:noProof/>
              </w:rPr>
              <w:drawing>
                <wp:inline distT="0" distB="0" distL="0" distR="0" wp14:anchorId="5CC36A98" wp14:editId="5C52859A">
                  <wp:extent cx="342900" cy="342900"/>
                  <wp:effectExtent l="0" t="0" r="0" b="0"/>
                  <wp:docPr id="845455241" name="Picture 845455241" descr="F,{f0ed041d-5e5a-4975-8e97-70acb813da04}{122},0.6666667,0.6666667" title="Image download 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tc>
        <w:tc>
          <w:tcPr>
            <w:tcW w:w="5440" w:type="dxa"/>
          </w:tcPr>
          <w:p w14:paraId="49D58816" w14:textId="60E9BE4C" w:rsidR="7B057027" w:rsidRDefault="7B057027">
            <w:r w:rsidRPr="7B057027">
              <w:rPr>
                <w:rFonts w:ascii="Arial" w:eastAsia="Arial" w:hAnsi="Arial" w:cs="Arial"/>
              </w:rPr>
              <w:t>0-</w:t>
            </w:r>
            <w:r w:rsidR="00F06268">
              <w:rPr>
                <w:rFonts w:ascii="Arial" w:eastAsia="Arial" w:hAnsi="Arial" w:cs="Arial"/>
              </w:rPr>
              <w:t>20</w:t>
            </w:r>
            <w:r w:rsidRPr="7B057027">
              <w:rPr>
                <w:rFonts w:ascii="Arial" w:eastAsia="Arial" w:hAnsi="Arial" w:cs="Arial"/>
              </w:rPr>
              <w:t xml:space="preserve"> personnel</w:t>
            </w:r>
          </w:p>
        </w:tc>
      </w:tr>
      <w:tr w:rsidR="7B057027" w14:paraId="0E70A1CC" w14:textId="77777777" w:rsidTr="7B057027">
        <w:tc>
          <w:tcPr>
            <w:tcW w:w="5440" w:type="dxa"/>
          </w:tcPr>
          <w:p w14:paraId="625D1A25" w14:textId="30DE16F4" w:rsidR="7B057027" w:rsidRDefault="7B057027">
            <w:r w:rsidRPr="7B057027">
              <w:rPr>
                <w:rFonts w:ascii="Arial" w:eastAsia="Arial" w:hAnsi="Arial" w:cs="Arial"/>
                <w:b/>
                <w:bCs/>
              </w:rPr>
              <w:t>1</w:t>
            </w:r>
          </w:p>
        </w:tc>
        <w:tc>
          <w:tcPr>
            <w:tcW w:w="5440" w:type="dxa"/>
          </w:tcPr>
          <w:p w14:paraId="45BF7738" w14:textId="59E2E47F" w:rsidR="7B057027" w:rsidRDefault="7B057027">
            <w:r w:rsidRPr="7B057027">
              <w:rPr>
                <w:rFonts w:ascii="Arial" w:eastAsia="Arial" w:hAnsi="Arial" w:cs="Arial"/>
              </w:rPr>
              <w:t>2</w:t>
            </w:r>
            <w:r w:rsidR="00F06268">
              <w:rPr>
                <w:rFonts w:ascii="Arial" w:eastAsia="Arial" w:hAnsi="Arial" w:cs="Arial"/>
              </w:rPr>
              <w:t>1</w:t>
            </w:r>
            <w:r w:rsidRPr="7B057027">
              <w:rPr>
                <w:rFonts w:ascii="Arial" w:eastAsia="Arial" w:hAnsi="Arial" w:cs="Arial"/>
              </w:rPr>
              <w:t>-50 personnel</w:t>
            </w:r>
          </w:p>
        </w:tc>
      </w:tr>
      <w:tr w:rsidR="7B057027" w14:paraId="220804A7" w14:textId="77777777" w:rsidTr="7B057027">
        <w:tc>
          <w:tcPr>
            <w:tcW w:w="5440" w:type="dxa"/>
          </w:tcPr>
          <w:p w14:paraId="792F4A34" w14:textId="69990C32" w:rsidR="7B057027" w:rsidRDefault="7B057027">
            <w:r w:rsidRPr="7B057027">
              <w:rPr>
                <w:rFonts w:ascii="Arial" w:eastAsia="Arial" w:hAnsi="Arial" w:cs="Arial"/>
                <w:b/>
                <w:bCs/>
              </w:rPr>
              <w:t>2</w:t>
            </w:r>
          </w:p>
        </w:tc>
        <w:tc>
          <w:tcPr>
            <w:tcW w:w="5440" w:type="dxa"/>
          </w:tcPr>
          <w:p w14:paraId="7062C7F4" w14:textId="1F773FA9" w:rsidR="7B057027" w:rsidRDefault="7B057027">
            <w:r w:rsidRPr="7B057027">
              <w:rPr>
                <w:rFonts w:ascii="Arial" w:eastAsia="Arial" w:hAnsi="Arial" w:cs="Arial"/>
              </w:rPr>
              <w:t>51-175 personnel</w:t>
            </w:r>
          </w:p>
        </w:tc>
      </w:tr>
      <w:tr w:rsidR="7B057027" w14:paraId="747347C8" w14:textId="77777777" w:rsidTr="7B057027">
        <w:tc>
          <w:tcPr>
            <w:tcW w:w="5440" w:type="dxa"/>
          </w:tcPr>
          <w:p w14:paraId="47D93461" w14:textId="4330825A" w:rsidR="7B057027" w:rsidRDefault="7B057027">
            <w:r w:rsidRPr="7B057027">
              <w:rPr>
                <w:rFonts w:ascii="Arial" w:eastAsia="Arial" w:hAnsi="Arial" w:cs="Arial"/>
                <w:b/>
                <w:bCs/>
              </w:rPr>
              <w:t>3</w:t>
            </w:r>
          </w:p>
        </w:tc>
        <w:tc>
          <w:tcPr>
            <w:tcW w:w="5440" w:type="dxa"/>
          </w:tcPr>
          <w:p w14:paraId="77D3D00D" w14:textId="0317152B" w:rsidR="7B057027" w:rsidRDefault="7B057027">
            <w:r w:rsidRPr="7B057027">
              <w:rPr>
                <w:rFonts w:ascii="Arial" w:eastAsia="Arial" w:hAnsi="Arial" w:cs="Arial"/>
              </w:rPr>
              <w:t>176-400 personnel</w:t>
            </w:r>
          </w:p>
        </w:tc>
      </w:tr>
      <w:tr w:rsidR="7B057027" w14:paraId="4788D57E" w14:textId="77777777" w:rsidTr="7B057027">
        <w:tc>
          <w:tcPr>
            <w:tcW w:w="5440" w:type="dxa"/>
          </w:tcPr>
          <w:p w14:paraId="0C072D2F" w14:textId="77020D24" w:rsidR="7B057027" w:rsidRDefault="7B057027">
            <w:r w:rsidRPr="7B057027">
              <w:rPr>
                <w:rFonts w:ascii="Arial" w:eastAsia="Arial" w:hAnsi="Arial" w:cs="Arial"/>
                <w:b/>
                <w:bCs/>
              </w:rPr>
              <w:t>TBD based on the scope of work</w:t>
            </w:r>
          </w:p>
        </w:tc>
        <w:tc>
          <w:tcPr>
            <w:tcW w:w="5440" w:type="dxa"/>
          </w:tcPr>
          <w:p w14:paraId="07A9ECE5" w14:textId="47582643" w:rsidR="7B057027" w:rsidRDefault="7B057027">
            <w:r w:rsidRPr="7B057027">
              <w:rPr>
                <w:rFonts w:ascii="Arial" w:eastAsia="Arial" w:hAnsi="Arial" w:cs="Arial"/>
              </w:rPr>
              <w:t>&gt;400 personnel</w:t>
            </w:r>
          </w:p>
        </w:tc>
      </w:tr>
    </w:tbl>
    <w:p w14:paraId="2450AB9D" w14:textId="5B56FB9A" w:rsidR="00C53711" w:rsidRDefault="6A55B634" w:rsidP="7B057027">
      <w:r w:rsidRPr="7B057027">
        <w:rPr>
          <w:rFonts w:ascii="Tahoma" w:eastAsia="Tahoma" w:hAnsi="Tahoma" w:cs="Tahoma"/>
        </w:rPr>
        <w:t xml:space="preserve"> </w:t>
      </w:r>
    </w:p>
    <w:p w14:paraId="11B08F13" w14:textId="1CF2F0C4" w:rsidR="00C53711" w:rsidRDefault="6A55B634" w:rsidP="7B057027">
      <w:r w:rsidRPr="7B057027">
        <w:rPr>
          <w:rFonts w:ascii="Tahoma" w:eastAsia="Tahoma" w:hAnsi="Tahoma" w:cs="Tahoma"/>
          <w:u w:val="single"/>
        </w:rPr>
        <w:t xml:space="preserve">Prior to beginning work at the refinery, Safety Professional Resumes must be submitted to Marathon HESS for approval.  </w:t>
      </w:r>
    </w:p>
    <w:p w14:paraId="5AA4E774" w14:textId="64590B94" w:rsidR="00C53711" w:rsidRDefault="6A55B634" w:rsidP="7B057027">
      <w:pPr>
        <w:ind w:left="540" w:hanging="540"/>
      </w:pPr>
      <w:r w:rsidRPr="7B057027">
        <w:rPr>
          <w:rFonts w:ascii="Tahoma" w:eastAsia="Tahoma" w:hAnsi="Tahoma" w:cs="Tahoma"/>
          <w:u w:val="single"/>
        </w:rPr>
        <w:t>Minimum qualifications shall include, but not limited to:</w:t>
      </w:r>
    </w:p>
    <w:p w14:paraId="7019F6E8" w14:textId="294E9B2C" w:rsidR="00C53711" w:rsidRDefault="6A55B634" w:rsidP="7B057027">
      <w:pPr>
        <w:pStyle w:val="ListParagraph"/>
        <w:numPr>
          <w:ilvl w:val="0"/>
          <w:numId w:val="1"/>
        </w:numPr>
        <w:rPr>
          <w:rFonts w:asciiTheme="minorHAnsi" w:eastAsiaTheme="minorEastAsia" w:hAnsiTheme="minorHAnsi" w:cstheme="minorBidi"/>
          <w:color w:val="000000" w:themeColor="text1"/>
        </w:rPr>
      </w:pPr>
      <w:r w:rsidRPr="7B057027">
        <w:rPr>
          <w:color w:val="000000" w:themeColor="text1"/>
          <w:u w:val="single"/>
        </w:rPr>
        <w:t>Certification(s) through a recognized safety and health organization/association (e.g. OSHA 501, 502, 511, 512)</w:t>
      </w:r>
    </w:p>
    <w:p w14:paraId="7E09201C" w14:textId="07DC7B82" w:rsidR="00C53711" w:rsidRDefault="6A55B634" w:rsidP="7B057027">
      <w:pPr>
        <w:pStyle w:val="ListParagraph"/>
        <w:numPr>
          <w:ilvl w:val="0"/>
          <w:numId w:val="1"/>
        </w:numPr>
        <w:rPr>
          <w:rFonts w:asciiTheme="minorHAnsi" w:eastAsiaTheme="minorEastAsia" w:hAnsiTheme="minorHAnsi" w:cstheme="minorBidi"/>
          <w:color w:val="000000" w:themeColor="text1"/>
        </w:rPr>
      </w:pPr>
      <w:r w:rsidRPr="7B057027">
        <w:rPr>
          <w:rFonts w:ascii="Tahoma" w:eastAsia="Tahoma" w:hAnsi="Tahoma" w:cs="Tahoma"/>
          <w:color w:val="000000" w:themeColor="text1"/>
          <w:u w:val="single"/>
        </w:rPr>
        <w:t>Relevant safety experience working in chemical or petroleum refining or similar industry</w:t>
      </w:r>
    </w:p>
    <w:p w14:paraId="34259D9D" w14:textId="5A2DAF8C" w:rsidR="00C53711" w:rsidRDefault="6A55B634" w:rsidP="7B057027">
      <w:pPr>
        <w:ind w:left="540" w:hanging="540"/>
      </w:pPr>
      <w:r w:rsidRPr="7B057027">
        <w:rPr>
          <w:rFonts w:ascii="Tahoma" w:eastAsia="Tahoma" w:hAnsi="Tahoma" w:cs="Tahoma"/>
          <w:u w:val="single"/>
        </w:rPr>
        <w:t>Preferred qualifications shall include, but not limited to:</w:t>
      </w:r>
    </w:p>
    <w:p w14:paraId="0BED69AE" w14:textId="0649E820" w:rsidR="00C53711" w:rsidRDefault="6A55B634" w:rsidP="7B057027">
      <w:pPr>
        <w:pStyle w:val="ListParagraph"/>
        <w:numPr>
          <w:ilvl w:val="0"/>
          <w:numId w:val="1"/>
        </w:numPr>
        <w:rPr>
          <w:rFonts w:asciiTheme="minorHAnsi" w:eastAsiaTheme="minorEastAsia" w:hAnsiTheme="minorHAnsi" w:cstheme="minorBidi"/>
          <w:color w:val="000000" w:themeColor="text1"/>
        </w:rPr>
      </w:pPr>
      <w:r w:rsidRPr="7B057027">
        <w:rPr>
          <w:color w:val="000000" w:themeColor="text1"/>
          <w:u w:val="single"/>
        </w:rPr>
        <w:t>Certification(s) through the Board of Certified Safety Professionals (BCSP)</w:t>
      </w:r>
    </w:p>
    <w:p w14:paraId="72C80327" w14:textId="5E33C1E8" w:rsidR="00C53711" w:rsidRDefault="6A55B634" w:rsidP="7B057027">
      <w:pPr>
        <w:pStyle w:val="ListParagraph"/>
        <w:numPr>
          <w:ilvl w:val="0"/>
          <w:numId w:val="1"/>
        </w:numPr>
        <w:rPr>
          <w:rFonts w:asciiTheme="minorHAnsi" w:eastAsiaTheme="minorEastAsia" w:hAnsiTheme="minorHAnsi" w:cstheme="minorBidi"/>
          <w:color w:val="000000" w:themeColor="text1"/>
        </w:rPr>
      </w:pPr>
      <w:r w:rsidRPr="7B057027">
        <w:rPr>
          <w:rFonts w:ascii="Tahoma" w:eastAsia="Tahoma" w:hAnsi="Tahoma" w:cs="Tahoma"/>
          <w:color w:val="000000" w:themeColor="text1"/>
          <w:u w:val="single"/>
        </w:rPr>
        <w:t xml:space="preserve">Occupational Safety, Industrial Hygiene </w:t>
      </w:r>
      <w:proofErr w:type="gramStart"/>
      <w:r w:rsidRPr="7B057027">
        <w:rPr>
          <w:rFonts w:ascii="Tahoma" w:eastAsia="Tahoma" w:hAnsi="Tahoma" w:cs="Tahoma"/>
          <w:color w:val="000000" w:themeColor="text1"/>
          <w:u w:val="single"/>
        </w:rPr>
        <w:t>University  or</w:t>
      </w:r>
      <w:proofErr w:type="gramEnd"/>
      <w:r w:rsidRPr="7B057027">
        <w:rPr>
          <w:rFonts w:ascii="Tahoma" w:eastAsia="Tahoma" w:hAnsi="Tahoma" w:cs="Tahoma"/>
          <w:color w:val="000000" w:themeColor="text1"/>
          <w:u w:val="single"/>
        </w:rPr>
        <w:t xml:space="preserve"> related degrees</w:t>
      </w:r>
      <w:r>
        <w:t xml:space="preserve"> </w:t>
      </w:r>
    </w:p>
    <w:p w14:paraId="54A8CFCE" w14:textId="50360E3D" w:rsidR="00C53711" w:rsidRDefault="0092529C" w:rsidP="7B057027">
      <w:pPr>
        <w:pStyle w:val="BodyText"/>
        <w:spacing w:before="8"/>
        <w:rPr>
          <w:sz w:val="14"/>
          <w:szCs w:val="14"/>
        </w:rPr>
      </w:pPr>
      <w:r>
        <w:t>Minimum qualifications shall include, but not limited to:</w:t>
      </w:r>
    </w:p>
    <w:p w14:paraId="6B38E767" w14:textId="77777777" w:rsidR="00C53711" w:rsidRDefault="0092529C">
      <w:pPr>
        <w:pStyle w:val="ListParagraph"/>
        <w:numPr>
          <w:ilvl w:val="0"/>
          <w:numId w:val="2"/>
        </w:numPr>
        <w:tabs>
          <w:tab w:val="left" w:pos="939"/>
          <w:tab w:val="left" w:pos="941"/>
        </w:tabs>
        <w:spacing w:before="42"/>
      </w:pPr>
      <w:r>
        <w:t>Certification(s) through a recognized safety and health organization/association (e.g. OSHA</w:t>
      </w:r>
      <w:r>
        <w:rPr>
          <w:spacing w:val="-16"/>
        </w:rPr>
        <w:t xml:space="preserve"> </w:t>
      </w:r>
      <w:r>
        <w:t>501)</w:t>
      </w:r>
    </w:p>
    <w:p w14:paraId="6EFA28EB" w14:textId="77777777" w:rsidR="00C53711" w:rsidRDefault="0092529C">
      <w:pPr>
        <w:pStyle w:val="ListParagraph"/>
        <w:numPr>
          <w:ilvl w:val="0"/>
          <w:numId w:val="2"/>
        </w:numPr>
        <w:tabs>
          <w:tab w:val="left" w:pos="940"/>
          <w:tab w:val="left" w:pos="941"/>
        </w:tabs>
        <w:ind w:hanging="360"/>
      </w:pPr>
      <w:r>
        <w:t>Relevant safety experience working in chemical or petroleum refining or similar</w:t>
      </w:r>
      <w:r>
        <w:rPr>
          <w:spacing w:val="-14"/>
        </w:rPr>
        <w:t xml:space="preserve"> </w:t>
      </w:r>
      <w:r>
        <w:t>industry</w:t>
      </w:r>
    </w:p>
    <w:p w14:paraId="0E00BF21" w14:textId="77777777" w:rsidR="00C53711" w:rsidRDefault="0092529C">
      <w:pPr>
        <w:pStyle w:val="ListParagraph"/>
        <w:numPr>
          <w:ilvl w:val="0"/>
          <w:numId w:val="2"/>
        </w:numPr>
        <w:tabs>
          <w:tab w:val="left" w:pos="940"/>
          <w:tab w:val="left" w:pos="941"/>
        </w:tabs>
        <w:ind w:hanging="360"/>
      </w:pPr>
      <w:r>
        <w:t>Bachelor’s degree in a safety and health related</w:t>
      </w:r>
      <w:r>
        <w:rPr>
          <w:spacing w:val="-6"/>
        </w:rPr>
        <w:t xml:space="preserve"> </w:t>
      </w:r>
      <w:r>
        <w:t>field</w:t>
      </w:r>
    </w:p>
    <w:p w14:paraId="4DB0FCED" w14:textId="77777777" w:rsidR="00C53711" w:rsidRDefault="0092529C">
      <w:pPr>
        <w:pStyle w:val="BodyText"/>
        <w:spacing w:before="240"/>
        <w:ind w:left="220"/>
      </w:pPr>
      <w:r>
        <w:t>Additional Specific Qualifications shall include, but not limited to:</w:t>
      </w:r>
    </w:p>
    <w:p w14:paraId="19E3E2D2" w14:textId="77777777" w:rsidR="00C53711" w:rsidRDefault="0092529C">
      <w:pPr>
        <w:pStyle w:val="ListParagraph"/>
        <w:numPr>
          <w:ilvl w:val="0"/>
          <w:numId w:val="2"/>
        </w:numPr>
        <w:tabs>
          <w:tab w:val="left" w:pos="940"/>
          <w:tab w:val="left" w:pos="941"/>
        </w:tabs>
        <w:spacing w:before="41"/>
        <w:ind w:hanging="360"/>
      </w:pPr>
      <w:r>
        <w:t>Electrical training - NFPA 70e Qualified</w:t>
      </w:r>
      <w:r>
        <w:rPr>
          <w:spacing w:val="-11"/>
        </w:rPr>
        <w:t xml:space="preserve"> </w:t>
      </w:r>
      <w:r>
        <w:t>person</w:t>
      </w:r>
    </w:p>
    <w:p w14:paraId="56815A25" w14:textId="77777777" w:rsidR="00C53711" w:rsidRDefault="0092529C">
      <w:pPr>
        <w:pStyle w:val="ListParagraph"/>
        <w:numPr>
          <w:ilvl w:val="0"/>
          <w:numId w:val="2"/>
        </w:numPr>
        <w:tabs>
          <w:tab w:val="left" w:pos="940"/>
          <w:tab w:val="left" w:pos="941"/>
        </w:tabs>
        <w:ind w:hanging="360"/>
      </w:pPr>
      <w:r>
        <w:t>Crane training -</w:t>
      </w:r>
      <w:r>
        <w:rPr>
          <w:spacing w:val="-2"/>
        </w:rPr>
        <w:t xml:space="preserve"> </w:t>
      </w:r>
      <w:r>
        <w:t>NCCO</w:t>
      </w:r>
    </w:p>
    <w:p w14:paraId="3B6C1EB3" w14:textId="77777777" w:rsidR="00C53711" w:rsidRDefault="0092529C">
      <w:pPr>
        <w:pStyle w:val="ListParagraph"/>
        <w:numPr>
          <w:ilvl w:val="0"/>
          <w:numId w:val="2"/>
        </w:numPr>
        <w:tabs>
          <w:tab w:val="left" w:pos="940"/>
          <w:tab w:val="left" w:pos="941"/>
        </w:tabs>
        <w:spacing w:before="42"/>
        <w:ind w:hanging="360"/>
      </w:pPr>
      <w:r>
        <w:t>Forklift</w:t>
      </w:r>
      <w:r>
        <w:rPr>
          <w:spacing w:val="-3"/>
        </w:rPr>
        <w:t xml:space="preserve"> </w:t>
      </w:r>
      <w:r>
        <w:t>training</w:t>
      </w:r>
    </w:p>
    <w:p w14:paraId="3DE28A06" w14:textId="77777777" w:rsidR="00C53711" w:rsidRDefault="0092529C">
      <w:pPr>
        <w:pStyle w:val="ListParagraph"/>
        <w:numPr>
          <w:ilvl w:val="0"/>
          <w:numId w:val="2"/>
        </w:numPr>
        <w:tabs>
          <w:tab w:val="left" w:pos="940"/>
          <w:tab w:val="left" w:pos="941"/>
        </w:tabs>
        <w:ind w:hanging="360"/>
      </w:pPr>
      <w:r>
        <w:t>First Aid/CPR training</w:t>
      </w:r>
    </w:p>
    <w:p w14:paraId="36D5EF95" w14:textId="77777777" w:rsidR="00C53711" w:rsidRDefault="0092529C">
      <w:pPr>
        <w:pStyle w:val="ListParagraph"/>
        <w:numPr>
          <w:ilvl w:val="0"/>
          <w:numId w:val="2"/>
        </w:numPr>
        <w:tabs>
          <w:tab w:val="left" w:pos="940"/>
          <w:tab w:val="left" w:pos="941"/>
        </w:tabs>
        <w:spacing w:before="41"/>
        <w:ind w:hanging="360"/>
      </w:pPr>
      <w:r>
        <w:t>OSHA 10-hour General Industry or OSHA 10-hour</w:t>
      </w:r>
      <w:r>
        <w:rPr>
          <w:spacing w:val="-7"/>
        </w:rPr>
        <w:t xml:space="preserve"> </w:t>
      </w:r>
      <w:r>
        <w:t>Construction</w:t>
      </w:r>
    </w:p>
    <w:p w14:paraId="4854F415" w14:textId="77777777" w:rsidR="00C53711" w:rsidRDefault="0092529C">
      <w:pPr>
        <w:pStyle w:val="ListParagraph"/>
        <w:numPr>
          <w:ilvl w:val="0"/>
          <w:numId w:val="2"/>
        </w:numPr>
        <w:tabs>
          <w:tab w:val="left" w:pos="940"/>
          <w:tab w:val="left" w:pos="941"/>
        </w:tabs>
        <w:spacing w:before="42"/>
        <w:ind w:hanging="360"/>
      </w:pPr>
      <w:r>
        <w:t>Respiratory Fit Test and</w:t>
      </w:r>
      <w:r>
        <w:rPr>
          <w:spacing w:val="-1"/>
        </w:rPr>
        <w:t xml:space="preserve"> </w:t>
      </w:r>
      <w:r>
        <w:t>Questionnaire</w:t>
      </w:r>
    </w:p>
    <w:p w14:paraId="7E249202" w14:textId="77777777" w:rsidR="00C53711" w:rsidRDefault="0092529C">
      <w:pPr>
        <w:pStyle w:val="ListParagraph"/>
        <w:numPr>
          <w:ilvl w:val="0"/>
          <w:numId w:val="2"/>
        </w:numPr>
        <w:tabs>
          <w:tab w:val="left" w:pos="940"/>
          <w:tab w:val="left" w:pos="941"/>
        </w:tabs>
        <w:ind w:hanging="360"/>
      </w:pPr>
      <w:r>
        <w:t>Confined Space Rescue or</w:t>
      </w:r>
      <w:r>
        <w:rPr>
          <w:spacing w:val="-8"/>
        </w:rPr>
        <w:t xml:space="preserve"> </w:t>
      </w:r>
      <w:r>
        <w:t>attendant</w:t>
      </w:r>
    </w:p>
    <w:p w14:paraId="5C024266" w14:textId="7509B4FF" w:rsidR="00C53711" w:rsidRDefault="0092529C">
      <w:pPr>
        <w:pStyle w:val="BodyText"/>
        <w:spacing w:before="240"/>
        <w:ind w:left="220"/>
      </w:pPr>
      <w:r>
        <w:t>Job expectations and responsibilities are detailed in RSSI 01-65.</w:t>
      </w:r>
    </w:p>
    <w:p w14:paraId="107185CA" w14:textId="6E264044" w:rsidR="002B093D" w:rsidRDefault="002B093D">
      <w:pPr>
        <w:pStyle w:val="BodyText"/>
        <w:spacing w:before="240"/>
        <w:ind w:left="220"/>
      </w:pPr>
    </w:p>
    <w:p w14:paraId="4C7C5F26" w14:textId="5A5B04C0" w:rsidR="002B093D" w:rsidRDefault="002B093D">
      <w:pPr>
        <w:pStyle w:val="BodyText"/>
        <w:spacing w:before="240"/>
        <w:ind w:left="220"/>
      </w:pPr>
    </w:p>
    <w:p w14:paraId="70D232AE" w14:textId="4AEF43DB" w:rsidR="002B093D" w:rsidRDefault="002B093D">
      <w:pPr>
        <w:pStyle w:val="BodyText"/>
        <w:spacing w:before="240"/>
        <w:ind w:left="220"/>
      </w:pPr>
    </w:p>
    <w:p w14:paraId="580B1222" w14:textId="3BC37992" w:rsidR="002B093D" w:rsidRDefault="002B093D">
      <w:pPr>
        <w:pStyle w:val="BodyText"/>
        <w:spacing w:before="240"/>
        <w:ind w:left="220"/>
      </w:pPr>
    </w:p>
    <w:p w14:paraId="551B9A00" w14:textId="77777777" w:rsidR="002B093D" w:rsidRDefault="002B093D">
      <w:pPr>
        <w:pStyle w:val="BodyText"/>
        <w:spacing w:before="240"/>
        <w:ind w:left="220"/>
      </w:pPr>
    </w:p>
    <w:p w14:paraId="5DBA1DA4" w14:textId="77777777" w:rsidR="00C53711" w:rsidRDefault="00C53711">
      <w:pPr>
        <w:pStyle w:val="BodyText"/>
        <w:rPr>
          <w:sz w:val="23"/>
        </w:rPr>
      </w:pPr>
    </w:p>
    <w:p w14:paraId="48100D92" w14:textId="77777777" w:rsidR="00C53711" w:rsidRDefault="0092529C">
      <w:pPr>
        <w:pStyle w:val="Heading1"/>
        <w:spacing w:before="1"/>
      </w:pPr>
      <w:bookmarkStart w:id="15" w:name="Drug_and_Alcohol_Screening"/>
      <w:bookmarkStart w:id="16" w:name="_Toc62558760"/>
      <w:bookmarkEnd w:id="15"/>
      <w:r>
        <w:lastRenderedPageBreak/>
        <w:t>Drug and Alcohol Screening</w:t>
      </w:r>
      <w:bookmarkEnd w:id="16"/>
    </w:p>
    <w:p w14:paraId="2AE57095" w14:textId="540B7A2F" w:rsidR="00C53711" w:rsidRDefault="0092529C">
      <w:pPr>
        <w:pStyle w:val="BodyText"/>
        <w:spacing w:before="63" w:line="276" w:lineRule="auto"/>
        <w:ind w:left="220" w:right="458"/>
      </w:pPr>
      <w:r>
        <w:t xml:space="preserve">Contract and subcontract companies that are required to participate in drug and alcohol screening must enroll in ASAP Drug Solutions </w:t>
      </w:r>
      <w:r w:rsidR="00295B8D">
        <w:t xml:space="preserve">or </w:t>
      </w:r>
      <w:r w:rsidR="00295B8D" w:rsidRPr="7B057027">
        <w:rPr>
          <w:u w:val="single"/>
        </w:rPr>
        <w:t>DISA</w:t>
      </w:r>
      <w:r w:rsidRPr="7B057027">
        <w:rPr>
          <w:u w:val="single"/>
        </w:rPr>
        <w:t xml:space="preserve"> </w:t>
      </w:r>
      <w:r w:rsidR="56CBAA00" w:rsidRPr="7B057027">
        <w:rPr>
          <w:u w:val="single"/>
        </w:rPr>
        <w:t xml:space="preserve">Global </w:t>
      </w:r>
      <w:proofErr w:type="spellStart"/>
      <w:r w:rsidR="56CBAA00" w:rsidRPr="7B057027">
        <w:rPr>
          <w:u w:val="single"/>
        </w:rPr>
        <w:t>Solutons</w:t>
      </w:r>
      <w:proofErr w:type="spellEnd"/>
      <w:r w:rsidR="56CBAA00">
        <w:t xml:space="preserve"> </w:t>
      </w:r>
      <w:r w:rsidR="00F0030A">
        <w:t xml:space="preserve">as </w:t>
      </w:r>
      <w:r>
        <w:t>the Third-Party Administrator</w:t>
      </w:r>
      <w:r w:rsidR="00295B8D">
        <w:t>s</w:t>
      </w:r>
      <w:r>
        <w:t>.</w:t>
      </w:r>
      <w:r w:rsidR="00F0030A">
        <w:t xml:space="preserve"> </w:t>
      </w:r>
      <w:r>
        <w:t>Complete all required paperwork and drug/alcohol screening at an approved location. Enrollment establishes the requirement for random screening. It is expected that when a contractor is randomly selected that they appear for screening at an approved location within the required timeframe. Failure to participate will result in a re-test status and access to the refinery will be revoked.</w:t>
      </w:r>
    </w:p>
    <w:p w14:paraId="3F1CD61A" w14:textId="77777777" w:rsidR="00C53711" w:rsidRDefault="00C53711">
      <w:pPr>
        <w:pStyle w:val="BodyText"/>
        <w:spacing w:before="6"/>
        <w:rPr>
          <w:sz w:val="16"/>
        </w:rPr>
      </w:pPr>
    </w:p>
    <w:p w14:paraId="504E7258" w14:textId="77777777" w:rsidR="00C53711" w:rsidRDefault="0092529C">
      <w:pPr>
        <w:pStyle w:val="BodyText"/>
        <w:spacing w:line="273" w:lineRule="auto"/>
        <w:ind w:left="220" w:right="734"/>
      </w:pPr>
      <w:r>
        <w:t>The refinery reserves the right to request post incident, and for cause testing of any employees or any contract personnel at any time.</w:t>
      </w:r>
    </w:p>
    <w:p w14:paraId="6C857E12" w14:textId="77777777" w:rsidR="00C53711" w:rsidRDefault="0092529C">
      <w:pPr>
        <w:pStyle w:val="BodyText"/>
        <w:spacing w:before="5" w:line="510" w:lineRule="exact"/>
        <w:ind w:left="220" w:right="1216"/>
      </w:pPr>
      <w:r>
        <w:t xml:space="preserve">All fees and expenses related to Drug and Alcohol screening is the responsibility of the contract company. </w:t>
      </w:r>
      <w:r>
        <w:rPr>
          <w:u w:val="single"/>
        </w:rPr>
        <w:t>Screening locations</w:t>
      </w:r>
    </w:p>
    <w:p w14:paraId="58426C27" w14:textId="0CBE4B6A" w:rsidR="00C53711" w:rsidRDefault="0092529C">
      <w:pPr>
        <w:pStyle w:val="BodyText"/>
        <w:spacing w:line="276" w:lineRule="auto"/>
        <w:ind w:left="220" w:right="555"/>
      </w:pPr>
      <w:r>
        <w:t xml:space="preserve">Contact companies shall contact Tang &amp; Company for ASAPCC </w:t>
      </w:r>
      <w:r w:rsidR="61807360">
        <w:t xml:space="preserve">or DISA Global Solutions for </w:t>
      </w:r>
      <w:r>
        <w:t>approved testing locations located throughout the United States.</w:t>
      </w:r>
    </w:p>
    <w:p w14:paraId="073BF880" w14:textId="77777777" w:rsidR="00C53711" w:rsidRDefault="00C53711">
      <w:pPr>
        <w:pStyle w:val="BodyText"/>
        <w:spacing w:before="3"/>
        <w:rPr>
          <w:sz w:val="16"/>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3"/>
        <w:gridCol w:w="3545"/>
        <w:gridCol w:w="3343"/>
      </w:tblGrid>
      <w:tr w:rsidR="00C53711" w14:paraId="2E99CF23" w14:textId="77777777">
        <w:trPr>
          <w:trHeight w:val="268"/>
        </w:trPr>
        <w:tc>
          <w:tcPr>
            <w:tcW w:w="10231" w:type="dxa"/>
            <w:gridSpan w:val="3"/>
            <w:shd w:val="clear" w:color="auto" w:fill="1F497D"/>
          </w:tcPr>
          <w:p w14:paraId="22B9024B" w14:textId="77777777" w:rsidR="00C53711" w:rsidRDefault="0092529C">
            <w:pPr>
              <w:pStyle w:val="TableParagraph"/>
              <w:spacing w:line="248" w:lineRule="exact"/>
              <w:rPr>
                <w:b/>
              </w:rPr>
            </w:pPr>
            <w:r>
              <w:rPr>
                <w:b/>
                <w:color w:val="FFFFFF"/>
              </w:rPr>
              <w:t>For the Bismarck/Mandan area, testing can be completed by the following TPA’s:</w:t>
            </w:r>
          </w:p>
        </w:tc>
      </w:tr>
      <w:tr w:rsidR="00C53711" w14:paraId="2071FC11" w14:textId="77777777">
        <w:trPr>
          <w:trHeight w:val="263"/>
        </w:trPr>
        <w:tc>
          <w:tcPr>
            <w:tcW w:w="3343" w:type="dxa"/>
            <w:tcBorders>
              <w:bottom w:val="nil"/>
            </w:tcBorders>
          </w:tcPr>
          <w:p w14:paraId="5DAC4E06" w14:textId="77777777" w:rsidR="00C53711" w:rsidRDefault="0092529C">
            <w:pPr>
              <w:pStyle w:val="TableParagraph"/>
              <w:spacing w:before="1" w:line="242" w:lineRule="exact"/>
              <w:rPr>
                <w:sz w:val="20"/>
              </w:rPr>
            </w:pPr>
            <w:r>
              <w:rPr>
                <w:sz w:val="20"/>
              </w:rPr>
              <w:t>Preble Medical Services</w:t>
            </w:r>
          </w:p>
        </w:tc>
        <w:tc>
          <w:tcPr>
            <w:tcW w:w="3545" w:type="dxa"/>
            <w:tcBorders>
              <w:bottom w:val="nil"/>
            </w:tcBorders>
          </w:tcPr>
          <w:p w14:paraId="363A33FE" w14:textId="77777777" w:rsidR="00C53711" w:rsidRDefault="0092529C">
            <w:pPr>
              <w:pStyle w:val="TableParagraph"/>
              <w:spacing w:before="1" w:line="242" w:lineRule="exact"/>
              <w:ind w:left="107"/>
              <w:rPr>
                <w:sz w:val="20"/>
              </w:rPr>
            </w:pPr>
            <w:r>
              <w:rPr>
                <w:sz w:val="20"/>
              </w:rPr>
              <w:t>Sanford Health Occupational</w:t>
            </w:r>
          </w:p>
        </w:tc>
        <w:tc>
          <w:tcPr>
            <w:tcW w:w="3343" w:type="dxa"/>
            <w:tcBorders>
              <w:bottom w:val="nil"/>
            </w:tcBorders>
          </w:tcPr>
          <w:p w14:paraId="71E95BC1" w14:textId="77777777" w:rsidR="00C53711" w:rsidRDefault="0092529C">
            <w:pPr>
              <w:pStyle w:val="TableParagraph"/>
              <w:spacing w:before="1" w:line="242" w:lineRule="exact"/>
              <w:rPr>
                <w:sz w:val="20"/>
              </w:rPr>
            </w:pPr>
            <w:r>
              <w:rPr>
                <w:sz w:val="20"/>
              </w:rPr>
              <w:t xml:space="preserve">Mid-Dakota </w:t>
            </w:r>
            <w:proofErr w:type="spellStart"/>
            <w:r>
              <w:rPr>
                <w:sz w:val="20"/>
              </w:rPr>
              <w:t>Worklife</w:t>
            </w:r>
            <w:proofErr w:type="spellEnd"/>
          </w:p>
        </w:tc>
      </w:tr>
      <w:tr w:rsidR="00C53711" w14:paraId="69B4CCB8" w14:textId="77777777">
        <w:trPr>
          <w:trHeight w:val="243"/>
        </w:trPr>
        <w:tc>
          <w:tcPr>
            <w:tcW w:w="3343" w:type="dxa"/>
            <w:tcBorders>
              <w:top w:val="nil"/>
              <w:bottom w:val="nil"/>
            </w:tcBorders>
          </w:tcPr>
          <w:p w14:paraId="4FDFE2E1" w14:textId="77777777" w:rsidR="00C53711" w:rsidRDefault="0092529C">
            <w:pPr>
              <w:pStyle w:val="TableParagraph"/>
              <w:spacing w:line="224" w:lineRule="exact"/>
              <w:rPr>
                <w:sz w:val="20"/>
              </w:rPr>
            </w:pPr>
            <w:r>
              <w:rPr>
                <w:sz w:val="20"/>
              </w:rPr>
              <w:t>107 Collins Ave.</w:t>
            </w:r>
          </w:p>
        </w:tc>
        <w:tc>
          <w:tcPr>
            <w:tcW w:w="3545" w:type="dxa"/>
            <w:tcBorders>
              <w:top w:val="nil"/>
              <w:bottom w:val="nil"/>
            </w:tcBorders>
          </w:tcPr>
          <w:p w14:paraId="5B0FAF3F" w14:textId="77777777" w:rsidR="00C53711" w:rsidRDefault="0092529C">
            <w:pPr>
              <w:pStyle w:val="TableParagraph"/>
              <w:spacing w:line="224" w:lineRule="exact"/>
              <w:ind w:left="107"/>
              <w:rPr>
                <w:sz w:val="20"/>
              </w:rPr>
            </w:pPr>
            <w:r>
              <w:rPr>
                <w:sz w:val="20"/>
              </w:rPr>
              <w:t>2603 E Broadway</w:t>
            </w:r>
          </w:p>
        </w:tc>
        <w:tc>
          <w:tcPr>
            <w:tcW w:w="3343" w:type="dxa"/>
            <w:tcBorders>
              <w:top w:val="nil"/>
              <w:bottom w:val="nil"/>
            </w:tcBorders>
          </w:tcPr>
          <w:p w14:paraId="03C2F81B" w14:textId="77777777" w:rsidR="00C53711" w:rsidRDefault="0092529C">
            <w:pPr>
              <w:pStyle w:val="TableParagraph"/>
              <w:spacing w:line="224" w:lineRule="exact"/>
              <w:rPr>
                <w:sz w:val="20"/>
              </w:rPr>
            </w:pPr>
            <w:r>
              <w:rPr>
                <w:sz w:val="20"/>
              </w:rPr>
              <w:t>401 N. 9th Street</w:t>
            </w:r>
          </w:p>
        </w:tc>
      </w:tr>
      <w:tr w:rsidR="00C53711" w14:paraId="6E9FD144" w14:textId="77777777">
        <w:trPr>
          <w:trHeight w:val="244"/>
        </w:trPr>
        <w:tc>
          <w:tcPr>
            <w:tcW w:w="3343" w:type="dxa"/>
            <w:tcBorders>
              <w:top w:val="nil"/>
              <w:bottom w:val="nil"/>
            </w:tcBorders>
          </w:tcPr>
          <w:p w14:paraId="581E8F6D" w14:textId="77777777" w:rsidR="00C53711" w:rsidRDefault="0092529C">
            <w:pPr>
              <w:pStyle w:val="TableParagraph"/>
              <w:spacing w:line="225" w:lineRule="exact"/>
              <w:rPr>
                <w:sz w:val="20"/>
              </w:rPr>
            </w:pPr>
            <w:r>
              <w:rPr>
                <w:sz w:val="20"/>
              </w:rPr>
              <w:t>Mandan, ND 58554</w:t>
            </w:r>
          </w:p>
        </w:tc>
        <w:tc>
          <w:tcPr>
            <w:tcW w:w="3545" w:type="dxa"/>
            <w:tcBorders>
              <w:top w:val="nil"/>
              <w:bottom w:val="nil"/>
            </w:tcBorders>
          </w:tcPr>
          <w:p w14:paraId="2771279C" w14:textId="77777777" w:rsidR="00C53711" w:rsidRDefault="0092529C">
            <w:pPr>
              <w:pStyle w:val="TableParagraph"/>
              <w:spacing w:line="225" w:lineRule="exact"/>
              <w:ind w:left="107"/>
              <w:rPr>
                <w:sz w:val="20"/>
              </w:rPr>
            </w:pPr>
            <w:r>
              <w:rPr>
                <w:sz w:val="20"/>
              </w:rPr>
              <w:t>Bismarck, ND 58501</w:t>
            </w:r>
          </w:p>
        </w:tc>
        <w:tc>
          <w:tcPr>
            <w:tcW w:w="3343" w:type="dxa"/>
            <w:tcBorders>
              <w:top w:val="nil"/>
              <w:bottom w:val="nil"/>
            </w:tcBorders>
          </w:tcPr>
          <w:p w14:paraId="3B094B70" w14:textId="77777777" w:rsidR="00C53711" w:rsidRDefault="0092529C">
            <w:pPr>
              <w:pStyle w:val="TableParagraph"/>
              <w:spacing w:line="225" w:lineRule="exact"/>
              <w:rPr>
                <w:sz w:val="20"/>
              </w:rPr>
            </w:pPr>
            <w:r>
              <w:rPr>
                <w:sz w:val="20"/>
              </w:rPr>
              <w:t>Bismarck, ND 58501</w:t>
            </w:r>
          </w:p>
        </w:tc>
      </w:tr>
      <w:tr w:rsidR="00C53711" w14:paraId="30E899BC" w14:textId="77777777">
        <w:trPr>
          <w:trHeight w:val="224"/>
        </w:trPr>
        <w:tc>
          <w:tcPr>
            <w:tcW w:w="3343" w:type="dxa"/>
            <w:tcBorders>
              <w:top w:val="nil"/>
            </w:tcBorders>
          </w:tcPr>
          <w:p w14:paraId="042C05C8" w14:textId="77777777" w:rsidR="00C53711" w:rsidRDefault="0092529C">
            <w:pPr>
              <w:pStyle w:val="TableParagraph"/>
              <w:spacing w:line="205" w:lineRule="exact"/>
              <w:rPr>
                <w:sz w:val="20"/>
              </w:rPr>
            </w:pPr>
            <w:r>
              <w:rPr>
                <w:sz w:val="20"/>
              </w:rPr>
              <w:t>(701) 663-6021</w:t>
            </w:r>
          </w:p>
        </w:tc>
        <w:tc>
          <w:tcPr>
            <w:tcW w:w="3545" w:type="dxa"/>
            <w:tcBorders>
              <w:top w:val="nil"/>
            </w:tcBorders>
          </w:tcPr>
          <w:p w14:paraId="27E688AC" w14:textId="77777777" w:rsidR="00C53711" w:rsidRDefault="0092529C">
            <w:pPr>
              <w:pStyle w:val="TableParagraph"/>
              <w:spacing w:line="205" w:lineRule="exact"/>
              <w:ind w:left="107"/>
              <w:rPr>
                <w:sz w:val="20"/>
              </w:rPr>
            </w:pPr>
            <w:r>
              <w:rPr>
                <w:sz w:val="20"/>
              </w:rPr>
              <w:t>(701) 323-5222</w:t>
            </w:r>
          </w:p>
        </w:tc>
        <w:tc>
          <w:tcPr>
            <w:tcW w:w="3343" w:type="dxa"/>
            <w:tcBorders>
              <w:top w:val="nil"/>
            </w:tcBorders>
          </w:tcPr>
          <w:p w14:paraId="5215FF1B" w14:textId="77777777" w:rsidR="00C53711" w:rsidRDefault="0092529C">
            <w:pPr>
              <w:pStyle w:val="TableParagraph"/>
              <w:spacing w:line="205" w:lineRule="exact"/>
              <w:rPr>
                <w:sz w:val="20"/>
              </w:rPr>
            </w:pPr>
            <w:r>
              <w:rPr>
                <w:sz w:val="20"/>
              </w:rPr>
              <w:t>(701) 530-6400</w:t>
            </w:r>
          </w:p>
        </w:tc>
      </w:tr>
    </w:tbl>
    <w:p w14:paraId="665E7C7D" w14:textId="77777777" w:rsidR="00C53711" w:rsidRDefault="00C53711">
      <w:pPr>
        <w:pStyle w:val="BodyText"/>
        <w:spacing w:before="10"/>
        <w:rPr>
          <w:sz w:val="19"/>
        </w:rPr>
      </w:pPr>
    </w:p>
    <w:p w14:paraId="51DAB448" w14:textId="77777777" w:rsidR="00C53711" w:rsidRDefault="0092529C">
      <w:pPr>
        <w:pStyle w:val="Heading1"/>
        <w:spacing w:before="1"/>
      </w:pPr>
      <w:bookmarkStart w:id="17" w:name="Background_Checks"/>
      <w:bookmarkStart w:id="18" w:name="_Toc62558761"/>
      <w:bookmarkEnd w:id="17"/>
      <w:r>
        <w:t>Background Checks</w:t>
      </w:r>
      <w:bookmarkEnd w:id="18"/>
    </w:p>
    <w:p w14:paraId="4E430513" w14:textId="68CC0467" w:rsidR="00C53711" w:rsidRDefault="0092529C">
      <w:pPr>
        <w:pStyle w:val="BodyText"/>
        <w:spacing w:before="63" w:line="276" w:lineRule="auto"/>
        <w:ind w:left="220" w:right="215"/>
      </w:pPr>
      <w:r>
        <w:t>The refinery adheres to the corporate policy on background checks for unescorted contractors, 10.10.098. Background checks are required for any contract or subcontract employee for access to CFATS Designated Restricted Areas. To receive unescorted access to the refinery, all contract and subcontract employees are to ensure that background checks are conducted through Tang &amp; Company</w:t>
      </w:r>
      <w:r w:rsidR="00A978B8">
        <w:t xml:space="preserve"> or DISA Global Solutions</w:t>
      </w:r>
      <w:r>
        <w:t>.</w:t>
      </w:r>
    </w:p>
    <w:p w14:paraId="7C267859" w14:textId="77777777" w:rsidR="00C53711" w:rsidRDefault="00C53711">
      <w:pPr>
        <w:pStyle w:val="BodyText"/>
        <w:spacing w:before="4"/>
        <w:rPr>
          <w:sz w:val="16"/>
        </w:rPr>
      </w:pPr>
    </w:p>
    <w:p w14:paraId="6AE3F55A" w14:textId="77777777" w:rsidR="00C53711" w:rsidRDefault="0092529C">
      <w:pPr>
        <w:pStyle w:val="BodyText"/>
        <w:ind w:left="220"/>
      </w:pPr>
      <w:r>
        <w:t>All fees and expenses related to Background Checks is the responsibility of the contract company.</w:t>
      </w:r>
    </w:p>
    <w:p w14:paraId="464863D3" w14:textId="77777777" w:rsidR="00C53711" w:rsidRDefault="00C53711">
      <w:pPr>
        <w:sectPr w:rsidR="00C53711">
          <w:pgSz w:w="12240" w:h="15840"/>
          <w:pgMar w:top="1700" w:right="680" w:bottom="620" w:left="680" w:header="725" w:footer="438" w:gutter="0"/>
          <w:cols w:space="720"/>
        </w:sectPr>
      </w:pPr>
    </w:p>
    <w:p w14:paraId="622A5F4E" w14:textId="77777777" w:rsidR="00C53711" w:rsidRDefault="00C53711">
      <w:pPr>
        <w:pStyle w:val="BodyText"/>
        <w:spacing w:before="11"/>
        <w:rPr>
          <w:sz w:val="25"/>
        </w:rPr>
      </w:pPr>
    </w:p>
    <w:p w14:paraId="0E972262" w14:textId="77777777" w:rsidR="00C53711" w:rsidRDefault="0092529C">
      <w:pPr>
        <w:pStyle w:val="Heading1"/>
        <w:spacing w:before="27"/>
      </w:pPr>
      <w:bookmarkStart w:id="19" w:name="Training_Requirements"/>
      <w:bookmarkStart w:id="20" w:name="_Toc62558762"/>
      <w:bookmarkEnd w:id="19"/>
      <w:r>
        <w:t>Training Requirements</w:t>
      </w:r>
      <w:bookmarkEnd w:id="20"/>
    </w:p>
    <w:p w14:paraId="570EC46B" w14:textId="77777777" w:rsidR="00C53711" w:rsidRDefault="0092529C">
      <w:pPr>
        <w:pStyle w:val="BodyText"/>
        <w:spacing w:before="64"/>
        <w:ind w:left="220"/>
      </w:pPr>
      <w:r>
        <w:rPr>
          <w:u w:val="single"/>
        </w:rPr>
        <w:t>Safety training</w:t>
      </w:r>
    </w:p>
    <w:p w14:paraId="6C922D43" w14:textId="756C82E6" w:rsidR="00C53711" w:rsidRPr="00531985" w:rsidRDefault="0092529C">
      <w:pPr>
        <w:pStyle w:val="BodyText"/>
        <w:spacing w:before="41" w:line="276" w:lineRule="auto"/>
        <w:ind w:left="219" w:right="234"/>
        <w:rPr>
          <w:u w:val="double"/>
        </w:rPr>
      </w:pPr>
      <w:r>
        <w:t xml:space="preserve">Contractors with specific work types considered as Level </w:t>
      </w:r>
      <w:proofErr w:type="gramStart"/>
      <w:r>
        <w:t xml:space="preserve">2 </w:t>
      </w:r>
      <w:r w:rsidR="11E3F6D1">
        <w:t xml:space="preserve"> </w:t>
      </w:r>
      <w:r>
        <w:t>are</w:t>
      </w:r>
      <w:proofErr w:type="gramEnd"/>
      <w:r>
        <w:t xml:space="preserve"> required to complete Safety Training for access to the refinery. Safety training options include OSHA 10-hour, </w:t>
      </w:r>
      <w:r w:rsidR="00C60F72" w:rsidRPr="00C60F72">
        <w:rPr>
          <w:u w:val="double"/>
        </w:rPr>
        <w:t xml:space="preserve">OSCA </w:t>
      </w:r>
      <w:r>
        <w:t>Refinery Safety Overview (RSO</w:t>
      </w:r>
      <w:proofErr w:type="gramStart"/>
      <w:r>
        <w:t>)</w:t>
      </w:r>
      <w:r w:rsidR="00E60295">
        <w:t>,</w:t>
      </w:r>
      <w:proofErr w:type="spellStart"/>
      <w:r w:rsidR="00C60F72" w:rsidRPr="00E60295">
        <w:rPr>
          <w:u w:val="double"/>
        </w:rPr>
        <w:t>RefineryPass</w:t>
      </w:r>
      <w:proofErr w:type="spellEnd"/>
      <w:proofErr w:type="gramEnd"/>
      <w:r w:rsidR="000A6624" w:rsidRPr="00E60295">
        <w:rPr>
          <w:u w:val="double"/>
        </w:rPr>
        <w:t xml:space="preserve"> Basic Refinery Or</w:t>
      </w:r>
      <w:r w:rsidR="00E60295" w:rsidRPr="00E60295">
        <w:rPr>
          <w:u w:val="double"/>
        </w:rPr>
        <w:t>ientation</w:t>
      </w:r>
      <w:r>
        <w:t>, DISA Safety Orientation (DSOP), or Basic Plus.  Safety training must have been taken within the last two years and continuously maintained to remain current with active status in OSCA. This will require completing training at least every two years to remain active. Documentation of safety training other than RSO, must be uploaded in OSCA’s</w:t>
      </w:r>
      <w:r w:rsidR="00AC6AF0">
        <w:t>,</w:t>
      </w:r>
      <w:r w:rsidR="55F945C5">
        <w:t xml:space="preserve"> DISA’s</w:t>
      </w:r>
      <w:r w:rsidR="00AC6AF0">
        <w:t xml:space="preserve"> or </w:t>
      </w:r>
      <w:proofErr w:type="spellStart"/>
      <w:r w:rsidR="00AC6AF0" w:rsidRPr="00531985">
        <w:rPr>
          <w:u w:val="double"/>
        </w:rPr>
        <w:t>Refineryppass</w:t>
      </w:r>
      <w:proofErr w:type="spellEnd"/>
      <w:r w:rsidR="00AC6AF0" w:rsidRPr="00531985">
        <w:rPr>
          <w:u w:val="double"/>
        </w:rPr>
        <w:t>’</w:t>
      </w:r>
      <w:r w:rsidR="55F945C5" w:rsidRPr="00531985">
        <w:rPr>
          <w:u w:val="double"/>
        </w:rPr>
        <w:t xml:space="preserve"> </w:t>
      </w:r>
      <w:r w:rsidRPr="00531985">
        <w:rPr>
          <w:u w:val="double"/>
        </w:rPr>
        <w:t>database</w:t>
      </w:r>
      <w:r w:rsidR="2AC31DE6" w:rsidRPr="00531985">
        <w:rPr>
          <w:u w:val="double"/>
        </w:rPr>
        <w:t>s</w:t>
      </w:r>
      <w:r w:rsidR="0B42E17E" w:rsidRPr="00531985">
        <w:rPr>
          <w:u w:val="double"/>
        </w:rPr>
        <w:t xml:space="preserve"> </w:t>
      </w:r>
      <w:r w:rsidRPr="00531985">
        <w:rPr>
          <w:u w:val="double"/>
        </w:rPr>
        <w:t xml:space="preserve">and </w:t>
      </w:r>
      <w:r w:rsidR="007F7D0D" w:rsidRPr="00531985">
        <w:rPr>
          <w:u w:val="double"/>
        </w:rPr>
        <w:t xml:space="preserve">presented to security at time of badging. </w:t>
      </w:r>
    </w:p>
    <w:p w14:paraId="067A6AAD" w14:textId="4016F55E" w:rsidR="00386320" w:rsidRDefault="00386320" w:rsidP="00386320">
      <w:pPr>
        <w:pStyle w:val="BodyText"/>
        <w:spacing w:before="4"/>
      </w:pPr>
      <w:r>
        <w:rPr>
          <w:sz w:val="16"/>
        </w:rPr>
        <w:t xml:space="preserve">      </w:t>
      </w:r>
      <w:r w:rsidRPr="00386320">
        <w:rPr>
          <w:b/>
          <w:bCs/>
          <w:sz w:val="20"/>
          <w:szCs w:val="20"/>
        </w:rPr>
        <w:t>OSCA</w:t>
      </w:r>
      <w:r>
        <w:rPr>
          <w:sz w:val="16"/>
        </w:rPr>
        <w:t xml:space="preserve">- </w:t>
      </w:r>
      <w:hyperlink r:id="rId16" w:history="1">
        <w:r w:rsidRPr="00386320">
          <w:rPr>
            <w:color w:val="0000FF"/>
            <w:u w:val="single"/>
          </w:rPr>
          <w:t>https://www.osca.com/Courses/Search?searchStr=mandan</w:t>
        </w:r>
      </w:hyperlink>
    </w:p>
    <w:p w14:paraId="4BCFE3A6" w14:textId="7C5CAE32" w:rsidR="00386320" w:rsidRDefault="00386320" w:rsidP="00386320">
      <w:pPr>
        <w:pStyle w:val="BodyText"/>
        <w:spacing w:before="4"/>
      </w:pPr>
      <w:r>
        <w:t xml:space="preserve">    </w:t>
      </w:r>
      <w:r w:rsidRPr="00386320">
        <w:rPr>
          <w:b/>
          <w:bCs/>
        </w:rPr>
        <w:t>RefineryPass-</w:t>
      </w:r>
      <w:hyperlink r:id="rId17" w:history="1">
        <w:r w:rsidR="00106E88" w:rsidRPr="00106E88">
          <w:rPr>
            <w:color w:val="0000FF"/>
            <w:u w:val="single"/>
          </w:rPr>
          <w:t>https://refinerypass.com/collections/all-courses/region_north-dakota</w:t>
        </w:r>
      </w:hyperlink>
      <w:r w:rsidR="00106E88">
        <w:t xml:space="preserve"> </w:t>
      </w:r>
    </w:p>
    <w:p w14:paraId="0A93B724" w14:textId="54B4BB8E" w:rsidR="00106E88" w:rsidRDefault="00106E88" w:rsidP="00386320">
      <w:pPr>
        <w:pStyle w:val="BodyText"/>
        <w:spacing w:before="4"/>
      </w:pPr>
      <w:r>
        <w:t xml:space="preserve">    </w:t>
      </w:r>
      <w:r w:rsidRPr="00106E88">
        <w:rPr>
          <w:b/>
          <w:bCs/>
        </w:rPr>
        <w:t xml:space="preserve">DISA </w:t>
      </w:r>
      <w:r>
        <w:rPr>
          <w:b/>
          <w:bCs/>
        </w:rPr>
        <w:t>-</w:t>
      </w:r>
      <w:hyperlink r:id="rId18" w:history="1">
        <w:r w:rsidR="00544326" w:rsidRPr="00544326">
          <w:rPr>
            <w:color w:val="0000FF"/>
            <w:u w:val="single"/>
          </w:rPr>
          <w:t>https://auth.disa.com/account/login</w:t>
        </w:r>
      </w:hyperlink>
      <w:r w:rsidR="00544326">
        <w:t xml:space="preserve"> </w:t>
      </w:r>
    </w:p>
    <w:p w14:paraId="348C2482" w14:textId="77777777" w:rsidR="00C477F5" w:rsidRPr="00106E88" w:rsidRDefault="00C477F5" w:rsidP="00386320">
      <w:pPr>
        <w:pStyle w:val="BodyText"/>
        <w:spacing w:before="4"/>
        <w:rPr>
          <w:b/>
          <w:bCs/>
        </w:rPr>
      </w:pPr>
    </w:p>
    <w:p w14:paraId="17E140F1" w14:textId="77777777" w:rsidR="00C53711" w:rsidRDefault="0092529C">
      <w:pPr>
        <w:pStyle w:val="BodyText"/>
        <w:ind w:left="220"/>
      </w:pPr>
      <w:r>
        <w:rPr>
          <w:u w:val="single"/>
        </w:rPr>
        <w:t>Site Specific</w:t>
      </w:r>
    </w:p>
    <w:p w14:paraId="37850A0F" w14:textId="31EE83A8" w:rsidR="00C53711" w:rsidRDefault="0092529C">
      <w:pPr>
        <w:pStyle w:val="BodyText"/>
        <w:spacing w:before="41" w:line="273" w:lineRule="auto"/>
        <w:ind w:left="219" w:right="453"/>
      </w:pPr>
      <w:r>
        <w:t>Contractors with specific work types considered as Level 2</w:t>
      </w:r>
      <w:r w:rsidR="00185859">
        <w:t xml:space="preserve"> </w:t>
      </w:r>
      <w:r w:rsidR="24513F15">
        <w:t>or 3</w:t>
      </w:r>
      <w:r>
        <w:t xml:space="preserve"> are required to complete Site Specific Training annually for access to the refinery. Site Specific training must be registered through the OSCA website</w:t>
      </w:r>
      <w:r w:rsidR="00FB029A">
        <w:t xml:space="preserve"> or </w:t>
      </w:r>
      <w:proofErr w:type="spellStart"/>
      <w:r w:rsidR="00FB029A" w:rsidRPr="00531985">
        <w:rPr>
          <w:u w:val="double"/>
        </w:rPr>
        <w:t>Refinery</w:t>
      </w:r>
      <w:r w:rsidR="00531985" w:rsidRPr="00531985">
        <w:rPr>
          <w:u w:val="double"/>
        </w:rPr>
        <w:t>pass</w:t>
      </w:r>
      <w:proofErr w:type="spellEnd"/>
      <w:r w:rsidR="00531985" w:rsidRPr="00531985">
        <w:rPr>
          <w:u w:val="double"/>
        </w:rPr>
        <w:t>.</w:t>
      </w:r>
      <w:r w:rsidR="00531985">
        <w:t xml:space="preserve"> </w:t>
      </w:r>
    </w:p>
    <w:p w14:paraId="05DFB73F" w14:textId="77777777" w:rsidR="00C53711" w:rsidRDefault="00C53711">
      <w:pPr>
        <w:pStyle w:val="BodyText"/>
        <w:spacing w:before="9"/>
        <w:rPr>
          <w:sz w:val="25"/>
        </w:rPr>
      </w:pPr>
    </w:p>
    <w:p w14:paraId="72859E89" w14:textId="77777777" w:rsidR="00C53711" w:rsidRDefault="0092529C">
      <w:pPr>
        <w:pStyle w:val="BodyText"/>
        <w:ind w:left="220"/>
      </w:pPr>
      <w:r>
        <w:rPr>
          <w:u w:val="single"/>
        </w:rPr>
        <w:t>Confined Space Attendant, Fire Watch, Alky Orientation/Walkthrough training</w:t>
      </w:r>
    </w:p>
    <w:p w14:paraId="0B1FE5E2" w14:textId="5442D757" w:rsidR="00C53711" w:rsidRDefault="0092529C">
      <w:pPr>
        <w:pStyle w:val="BodyText"/>
        <w:spacing w:before="39" w:line="276" w:lineRule="auto"/>
        <w:ind w:left="220" w:right="315"/>
      </w:pPr>
      <w:r>
        <w:t>Contractors tasked with Confined Space attendant responsibilities must complete the Confined Space Attendant module through OSCA</w:t>
      </w:r>
      <w:r w:rsidR="00E07BD4">
        <w:t xml:space="preserve"> or </w:t>
      </w:r>
      <w:proofErr w:type="spellStart"/>
      <w:r w:rsidR="00E07BD4">
        <w:t>RefineryPass</w:t>
      </w:r>
      <w:proofErr w:type="spellEnd"/>
      <w:r>
        <w:t>. Contractors tasked with Fire Watch responsibilities must complete the Fire Watch module through OSCA</w:t>
      </w:r>
      <w:r w:rsidR="00E07BD4">
        <w:t xml:space="preserve"> or </w:t>
      </w:r>
      <w:proofErr w:type="spellStart"/>
      <w:r w:rsidR="00E07BD4">
        <w:t>RefineryPass</w:t>
      </w:r>
      <w:proofErr w:type="spellEnd"/>
      <w:r>
        <w:t>. Contractors tasked with conducting work on the Alky Unit must complete the Alky Orientation module through OSCA</w:t>
      </w:r>
      <w:r w:rsidR="00531985">
        <w:t xml:space="preserve"> or </w:t>
      </w:r>
      <w:proofErr w:type="spellStart"/>
      <w:r w:rsidR="00531985">
        <w:t>Refinerypass</w:t>
      </w:r>
      <w:proofErr w:type="spellEnd"/>
      <w:r>
        <w:t xml:space="preserve"> and complete the Alky walkthrough. To complete the Alky walkthrough, contractors shall work through their refinery job rep/point of contact. </w:t>
      </w:r>
    </w:p>
    <w:p w14:paraId="59363A55" w14:textId="77777777" w:rsidR="00C53711" w:rsidRDefault="00C53711">
      <w:pPr>
        <w:pStyle w:val="BodyText"/>
        <w:spacing w:before="8"/>
        <w:rPr>
          <w:sz w:val="16"/>
        </w:rPr>
      </w:pPr>
    </w:p>
    <w:p w14:paraId="1068BE00" w14:textId="77777777" w:rsidR="00C53711" w:rsidRDefault="0092529C">
      <w:pPr>
        <w:pStyle w:val="BodyText"/>
        <w:ind w:left="220"/>
      </w:pPr>
      <w:r>
        <w:rPr>
          <w:u w:val="single"/>
        </w:rPr>
        <w:t>Visitor/Vendor Video</w:t>
      </w:r>
    </w:p>
    <w:p w14:paraId="1D4DC7CA" w14:textId="297F7387" w:rsidR="00C53711" w:rsidRDefault="0092529C">
      <w:pPr>
        <w:pStyle w:val="BodyText"/>
        <w:spacing w:before="41" w:line="276" w:lineRule="auto"/>
        <w:ind w:left="219"/>
      </w:pPr>
      <w:r w:rsidRPr="00525495">
        <w:rPr>
          <w:u w:val="double"/>
        </w:rPr>
        <w:t xml:space="preserve">The Visitor/Vendor </w:t>
      </w:r>
      <w:r w:rsidR="00525495" w:rsidRPr="00525495">
        <w:rPr>
          <w:u w:val="double"/>
        </w:rPr>
        <w:t>training can be viewed online at Refinerypass.com.</w:t>
      </w:r>
      <w:r>
        <w:t xml:space="preserve"> This video is required for all Level 1 contractors, escorted guests, and company employees that are not required to complete the Site-Specific training requirement.</w:t>
      </w:r>
    </w:p>
    <w:p w14:paraId="197FD0F2" w14:textId="536ED190" w:rsidR="00DE50F9" w:rsidRDefault="00F95013">
      <w:pPr>
        <w:pStyle w:val="BodyText"/>
        <w:spacing w:before="41" w:line="276" w:lineRule="auto"/>
        <w:ind w:left="219"/>
      </w:pPr>
      <w:r>
        <w:rPr>
          <w:noProof/>
        </w:rPr>
        <w:drawing>
          <wp:anchor distT="0" distB="0" distL="114300" distR="114300" simplePos="0" relativeHeight="251658240" behindDoc="0" locked="0" layoutInCell="1" allowOverlap="1" wp14:anchorId="2E44F617" wp14:editId="3D7716D6">
            <wp:simplePos x="571500" y="6013450"/>
            <wp:positionH relativeFrom="margin">
              <wp:align>left</wp:align>
            </wp:positionH>
            <wp:positionV relativeFrom="paragraph">
              <wp:align>top</wp:align>
            </wp:positionV>
            <wp:extent cx="780415" cy="80645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9474" b="17179"/>
                    <a:stretch/>
                  </pic:blipFill>
                  <pic:spPr bwMode="auto">
                    <a:xfrm>
                      <a:off x="0" y="0"/>
                      <a:ext cx="784999" cy="8105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0" w:history="1">
        <w:r>
          <w:rPr>
            <w:rStyle w:val="Hyperlink"/>
          </w:rPr>
          <w:t>https://refinerypass.com/pages/mandan-visitor-orientation</w:t>
        </w:r>
      </w:hyperlink>
      <w:r w:rsidR="00DE50F9">
        <w:br w:type="textWrapping" w:clear="all"/>
      </w:r>
    </w:p>
    <w:p w14:paraId="5403A748" w14:textId="77777777" w:rsidR="00DE50F9" w:rsidRDefault="00DE50F9">
      <w:pPr>
        <w:pStyle w:val="BodyText"/>
        <w:spacing w:before="41" w:line="276" w:lineRule="auto"/>
        <w:ind w:left="219"/>
      </w:pPr>
    </w:p>
    <w:p w14:paraId="4BF6564A" w14:textId="77777777" w:rsidR="00C53711" w:rsidRDefault="00C53711">
      <w:pPr>
        <w:pStyle w:val="BodyText"/>
        <w:spacing w:before="4"/>
        <w:rPr>
          <w:sz w:val="16"/>
        </w:rPr>
      </w:pPr>
    </w:p>
    <w:p w14:paraId="445940C8" w14:textId="77777777" w:rsidR="00C53711" w:rsidRDefault="0092529C">
      <w:pPr>
        <w:pStyle w:val="BodyText"/>
        <w:ind w:left="220"/>
      </w:pPr>
      <w:r>
        <w:rPr>
          <w:u w:val="single"/>
        </w:rPr>
        <w:t>Other job specific training</w:t>
      </w:r>
    </w:p>
    <w:p w14:paraId="2F1701B6" w14:textId="63080824" w:rsidR="00C53711" w:rsidRDefault="0092529C">
      <w:pPr>
        <w:pStyle w:val="BodyText"/>
        <w:spacing w:before="41" w:line="276" w:lineRule="auto"/>
        <w:ind w:left="219" w:right="620"/>
      </w:pPr>
      <w:r>
        <w:t>Job specific training, outside of training through OSCA</w:t>
      </w:r>
      <w:r w:rsidR="00F95013">
        <w:t xml:space="preserve"> or </w:t>
      </w:r>
      <w:proofErr w:type="spellStart"/>
      <w:r w:rsidR="00F95013" w:rsidRPr="00F95013">
        <w:t>RefineryPass</w:t>
      </w:r>
      <w:proofErr w:type="spellEnd"/>
      <w:r>
        <w:t>, are required for specific work types. Documentation of training may be requested. This may include, but not limited to, Confined Space training, Crane Operator certification/training, Forklift training, etc.</w:t>
      </w:r>
    </w:p>
    <w:p w14:paraId="20A980C8" w14:textId="77777777" w:rsidR="00C53711" w:rsidRDefault="00C53711">
      <w:pPr>
        <w:pStyle w:val="BodyText"/>
        <w:spacing w:before="4"/>
        <w:rPr>
          <w:sz w:val="25"/>
        </w:rPr>
      </w:pPr>
    </w:p>
    <w:p w14:paraId="21BE2E15" w14:textId="77777777" w:rsidR="00C53711" w:rsidRDefault="0092529C">
      <w:pPr>
        <w:pStyle w:val="BodyText"/>
        <w:ind w:left="219"/>
      </w:pPr>
      <w:r>
        <w:t>All fees and expenses related to onboarding training is the responsibility of the contract company.</w:t>
      </w:r>
    </w:p>
    <w:p w14:paraId="17FAA2AA" w14:textId="77777777" w:rsidR="00C53711" w:rsidRDefault="00C53711">
      <w:pPr>
        <w:pStyle w:val="BodyText"/>
        <w:spacing w:before="2"/>
        <w:rPr>
          <w:sz w:val="23"/>
        </w:rPr>
      </w:pPr>
    </w:p>
    <w:p w14:paraId="21EDE40D" w14:textId="77777777" w:rsidR="00C53711" w:rsidRDefault="00C53711">
      <w:pPr>
        <w:spacing w:line="276" w:lineRule="auto"/>
        <w:jc w:val="both"/>
        <w:sectPr w:rsidR="00C53711">
          <w:pgSz w:w="12240" w:h="15840"/>
          <w:pgMar w:top="1700" w:right="680" w:bottom="620" w:left="680" w:header="725" w:footer="438" w:gutter="0"/>
          <w:cols w:space="720"/>
        </w:sectPr>
      </w:pPr>
      <w:bookmarkStart w:id="21" w:name="Training_Documentation"/>
      <w:bookmarkEnd w:id="21"/>
    </w:p>
    <w:p w14:paraId="3E52940D" w14:textId="77777777" w:rsidR="00C53711" w:rsidRDefault="00C53711">
      <w:pPr>
        <w:pStyle w:val="BodyText"/>
        <w:spacing w:before="11"/>
        <w:rPr>
          <w:sz w:val="25"/>
        </w:rPr>
      </w:pPr>
    </w:p>
    <w:p w14:paraId="01067B96" w14:textId="77777777" w:rsidR="00C53711" w:rsidRDefault="0092529C">
      <w:pPr>
        <w:pStyle w:val="Heading1"/>
        <w:spacing w:before="27"/>
      </w:pPr>
      <w:bookmarkStart w:id="22" w:name="Vehicle_Authorization_and_Liability"/>
      <w:bookmarkStart w:id="23" w:name="_Toc62558763"/>
      <w:bookmarkEnd w:id="22"/>
      <w:r>
        <w:t>Vehicle Authorization and Liability</w:t>
      </w:r>
      <w:bookmarkEnd w:id="23"/>
    </w:p>
    <w:p w14:paraId="70BFDA31" w14:textId="77777777" w:rsidR="00C53711" w:rsidRDefault="0092529C">
      <w:pPr>
        <w:pStyle w:val="BodyText"/>
        <w:spacing w:before="64" w:line="276" w:lineRule="auto"/>
        <w:ind w:left="220"/>
      </w:pPr>
      <w:r>
        <w:t>All motorized vehicles shall be accounted for prior to arriving at the refinery. Vehicle authorization forms must be received a minimum of seven days prior to arrival. Commercial Automobile Liability must meet the following:</w:t>
      </w:r>
    </w:p>
    <w:p w14:paraId="0B228C8E" w14:textId="77777777" w:rsidR="00C53711" w:rsidRDefault="00C53711">
      <w:pPr>
        <w:pStyle w:val="BodyText"/>
        <w:spacing w:before="5"/>
        <w:rPr>
          <w:sz w:val="16"/>
        </w:rPr>
      </w:pPr>
    </w:p>
    <w:p w14:paraId="4776E140" w14:textId="77777777" w:rsidR="00C53711" w:rsidRDefault="0092529C">
      <w:pPr>
        <w:pStyle w:val="ListParagraph"/>
        <w:numPr>
          <w:ilvl w:val="0"/>
          <w:numId w:val="2"/>
        </w:numPr>
        <w:tabs>
          <w:tab w:val="left" w:pos="939"/>
          <w:tab w:val="left" w:pos="941"/>
        </w:tabs>
        <w:spacing w:before="0"/>
      </w:pPr>
      <w:r>
        <w:t>Coverage for all owned and non-owned, hired</w:t>
      </w:r>
      <w:r>
        <w:rPr>
          <w:spacing w:val="-9"/>
        </w:rPr>
        <w:t xml:space="preserve"> </w:t>
      </w:r>
      <w:r>
        <w:t>vehicles</w:t>
      </w:r>
    </w:p>
    <w:p w14:paraId="36AC40E6" w14:textId="77777777" w:rsidR="00C53711" w:rsidRDefault="0092529C">
      <w:pPr>
        <w:pStyle w:val="ListParagraph"/>
        <w:numPr>
          <w:ilvl w:val="0"/>
          <w:numId w:val="2"/>
        </w:numPr>
        <w:tabs>
          <w:tab w:val="left" w:pos="939"/>
          <w:tab w:val="left" w:pos="941"/>
        </w:tabs>
        <w:spacing w:line="276" w:lineRule="auto"/>
        <w:ind w:right="223"/>
      </w:pPr>
      <w:r>
        <w:t>Minimum</w:t>
      </w:r>
      <w:r>
        <w:rPr>
          <w:spacing w:val="-2"/>
        </w:rPr>
        <w:t xml:space="preserve"> </w:t>
      </w:r>
      <w:r>
        <w:t>combined</w:t>
      </w:r>
      <w:r>
        <w:rPr>
          <w:spacing w:val="-4"/>
        </w:rPr>
        <w:t xml:space="preserve"> </w:t>
      </w:r>
      <w:r>
        <w:t>single</w:t>
      </w:r>
      <w:r>
        <w:rPr>
          <w:spacing w:val="-5"/>
        </w:rPr>
        <w:t xml:space="preserve"> </w:t>
      </w:r>
      <w:r>
        <w:t>limit</w:t>
      </w:r>
      <w:r>
        <w:rPr>
          <w:spacing w:val="-5"/>
        </w:rPr>
        <w:t xml:space="preserve"> </w:t>
      </w:r>
      <w:r>
        <w:t>of</w:t>
      </w:r>
      <w:r>
        <w:rPr>
          <w:spacing w:val="-6"/>
        </w:rPr>
        <w:t xml:space="preserve"> </w:t>
      </w:r>
      <w:r>
        <w:t>$1,000,000</w:t>
      </w:r>
      <w:r>
        <w:rPr>
          <w:spacing w:val="-2"/>
        </w:rPr>
        <w:t xml:space="preserve"> </w:t>
      </w:r>
      <w:r>
        <w:t>per</w:t>
      </w:r>
      <w:r>
        <w:rPr>
          <w:spacing w:val="-5"/>
        </w:rPr>
        <w:t xml:space="preserve"> </w:t>
      </w:r>
      <w:r>
        <w:t>occurrence</w:t>
      </w:r>
      <w:r>
        <w:rPr>
          <w:spacing w:val="-2"/>
        </w:rPr>
        <w:t xml:space="preserve"> </w:t>
      </w:r>
      <w:r>
        <w:t>for</w:t>
      </w:r>
      <w:r>
        <w:rPr>
          <w:spacing w:val="-3"/>
        </w:rPr>
        <w:t xml:space="preserve"> </w:t>
      </w:r>
      <w:r>
        <w:t>bodily</w:t>
      </w:r>
      <w:r>
        <w:rPr>
          <w:spacing w:val="-2"/>
        </w:rPr>
        <w:t xml:space="preserve"> </w:t>
      </w:r>
      <w:r>
        <w:t>injury</w:t>
      </w:r>
      <w:r>
        <w:rPr>
          <w:spacing w:val="-4"/>
        </w:rPr>
        <w:t xml:space="preserve"> </w:t>
      </w:r>
      <w:r>
        <w:t>and</w:t>
      </w:r>
      <w:r>
        <w:rPr>
          <w:spacing w:val="-4"/>
        </w:rPr>
        <w:t xml:space="preserve"> </w:t>
      </w:r>
      <w:r>
        <w:t>property</w:t>
      </w:r>
      <w:r>
        <w:rPr>
          <w:spacing w:val="-2"/>
        </w:rPr>
        <w:t xml:space="preserve"> </w:t>
      </w:r>
      <w:r>
        <w:t>damage</w:t>
      </w:r>
      <w:r>
        <w:rPr>
          <w:spacing w:val="-2"/>
        </w:rPr>
        <w:t xml:space="preserve"> </w:t>
      </w:r>
      <w:r>
        <w:t>liability. Deductible or self-retention amount must be shown on</w:t>
      </w:r>
      <w:r>
        <w:rPr>
          <w:spacing w:val="-14"/>
        </w:rPr>
        <w:t xml:space="preserve"> </w:t>
      </w:r>
      <w:r>
        <w:t>certificate.</w:t>
      </w:r>
    </w:p>
    <w:p w14:paraId="09427992" w14:textId="77777777" w:rsidR="00C53711" w:rsidRDefault="0092529C">
      <w:pPr>
        <w:pStyle w:val="ListParagraph"/>
        <w:numPr>
          <w:ilvl w:val="0"/>
          <w:numId w:val="2"/>
        </w:numPr>
        <w:tabs>
          <w:tab w:val="left" w:pos="939"/>
          <w:tab w:val="left" w:pos="941"/>
        </w:tabs>
        <w:spacing w:before="2" w:line="273" w:lineRule="auto"/>
        <w:ind w:right="268"/>
      </w:pPr>
      <w:r>
        <w:t>If</w:t>
      </w:r>
      <w:r>
        <w:rPr>
          <w:spacing w:val="-3"/>
        </w:rPr>
        <w:t xml:space="preserve"> </w:t>
      </w:r>
      <w:r>
        <w:t>applicable,</w:t>
      </w:r>
      <w:r>
        <w:rPr>
          <w:spacing w:val="-3"/>
        </w:rPr>
        <w:t xml:space="preserve"> </w:t>
      </w:r>
      <w:r>
        <w:t>Motor</w:t>
      </w:r>
      <w:r>
        <w:rPr>
          <w:spacing w:val="-3"/>
        </w:rPr>
        <w:t xml:space="preserve"> </w:t>
      </w:r>
      <w:r>
        <w:t>Carrier</w:t>
      </w:r>
      <w:r>
        <w:rPr>
          <w:spacing w:val="-5"/>
        </w:rPr>
        <w:t xml:space="preserve"> </w:t>
      </w:r>
      <w:r>
        <w:t>Policies</w:t>
      </w:r>
      <w:r>
        <w:rPr>
          <w:spacing w:val="-5"/>
        </w:rPr>
        <w:t xml:space="preserve"> </w:t>
      </w:r>
      <w:r>
        <w:t>of</w:t>
      </w:r>
      <w:r>
        <w:rPr>
          <w:spacing w:val="-3"/>
        </w:rPr>
        <w:t xml:space="preserve"> </w:t>
      </w:r>
      <w:r>
        <w:t>Insurance</w:t>
      </w:r>
      <w:r>
        <w:rPr>
          <w:spacing w:val="-2"/>
        </w:rPr>
        <w:t xml:space="preserve"> </w:t>
      </w:r>
      <w:r>
        <w:t>for</w:t>
      </w:r>
      <w:r>
        <w:rPr>
          <w:spacing w:val="-5"/>
        </w:rPr>
        <w:t xml:space="preserve"> </w:t>
      </w:r>
      <w:r>
        <w:t>Public</w:t>
      </w:r>
      <w:r>
        <w:rPr>
          <w:spacing w:val="-3"/>
        </w:rPr>
        <w:t xml:space="preserve"> </w:t>
      </w:r>
      <w:r>
        <w:t>Liability</w:t>
      </w:r>
      <w:r>
        <w:rPr>
          <w:spacing w:val="-4"/>
        </w:rPr>
        <w:t xml:space="preserve"> </w:t>
      </w:r>
      <w:r>
        <w:t>Endorsement</w:t>
      </w:r>
      <w:r>
        <w:rPr>
          <w:spacing w:val="-5"/>
        </w:rPr>
        <w:t xml:space="preserve"> </w:t>
      </w:r>
      <w:r>
        <w:t>(Motor</w:t>
      </w:r>
      <w:r>
        <w:rPr>
          <w:spacing w:val="-3"/>
        </w:rPr>
        <w:t xml:space="preserve"> </w:t>
      </w:r>
      <w:r>
        <w:t>Carrier</w:t>
      </w:r>
      <w:r>
        <w:rPr>
          <w:spacing w:val="-3"/>
        </w:rPr>
        <w:t xml:space="preserve"> </w:t>
      </w:r>
      <w:r>
        <w:t>Act</w:t>
      </w:r>
      <w:r>
        <w:rPr>
          <w:spacing w:val="-5"/>
        </w:rPr>
        <w:t xml:space="preserve"> </w:t>
      </w:r>
      <w:r>
        <w:t>of</w:t>
      </w:r>
      <w:r>
        <w:rPr>
          <w:spacing w:val="-5"/>
        </w:rPr>
        <w:t xml:space="preserve"> </w:t>
      </w:r>
      <w:r>
        <w:t>1980) with minimum limits of $1,000,000 Bodily Injury and Property Damage per</w:t>
      </w:r>
      <w:r>
        <w:rPr>
          <w:spacing w:val="-17"/>
        </w:rPr>
        <w:t xml:space="preserve"> </w:t>
      </w:r>
      <w:r>
        <w:t>certificate.</w:t>
      </w:r>
    </w:p>
    <w:p w14:paraId="563E8A7D" w14:textId="77777777" w:rsidR="00C53711" w:rsidRDefault="0092529C">
      <w:pPr>
        <w:pStyle w:val="ListParagraph"/>
        <w:numPr>
          <w:ilvl w:val="0"/>
          <w:numId w:val="2"/>
        </w:numPr>
        <w:tabs>
          <w:tab w:val="left" w:pos="940"/>
          <w:tab w:val="left" w:pos="941"/>
        </w:tabs>
        <w:spacing w:before="5"/>
        <w:ind w:hanging="360"/>
      </w:pPr>
      <w:r>
        <w:t>Refinery Company named as additional</w:t>
      </w:r>
      <w:r>
        <w:rPr>
          <w:spacing w:val="-6"/>
        </w:rPr>
        <w:t xml:space="preserve"> </w:t>
      </w:r>
      <w:r>
        <w:t>insured.</w:t>
      </w:r>
    </w:p>
    <w:p w14:paraId="3853BCF2" w14:textId="198EE739" w:rsidR="00C53711" w:rsidRDefault="0092529C">
      <w:pPr>
        <w:pStyle w:val="ListParagraph"/>
        <w:numPr>
          <w:ilvl w:val="0"/>
          <w:numId w:val="2"/>
        </w:numPr>
        <w:tabs>
          <w:tab w:val="left" w:pos="940"/>
          <w:tab w:val="left" w:pos="941"/>
        </w:tabs>
        <w:ind w:hanging="360"/>
      </w:pPr>
      <w:r>
        <w:t>Endorsement to include a waiver of subrogation in favor of the refinery</w:t>
      </w:r>
      <w:r>
        <w:rPr>
          <w:spacing w:val="-16"/>
        </w:rPr>
        <w:t xml:space="preserve"> </w:t>
      </w:r>
      <w:r>
        <w:t>company.</w:t>
      </w:r>
    </w:p>
    <w:p w14:paraId="1A494270" w14:textId="6401089D" w:rsidR="00105912" w:rsidRPr="00EB1FE1" w:rsidRDefault="00105912">
      <w:pPr>
        <w:pStyle w:val="ListParagraph"/>
        <w:numPr>
          <w:ilvl w:val="0"/>
          <w:numId w:val="2"/>
        </w:numPr>
        <w:tabs>
          <w:tab w:val="left" w:pos="940"/>
          <w:tab w:val="left" w:pos="941"/>
        </w:tabs>
        <w:ind w:hanging="360"/>
      </w:pPr>
      <w:r w:rsidRPr="00EB1FE1">
        <w:t>Submit the Completed form to your Mandan Refinery Job Rep.</w:t>
      </w:r>
    </w:p>
    <w:p w14:paraId="7F845A17" w14:textId="77777777" w:rsidR="00C53711" w:rsidRDefault="00C53711">
      <w:pPr>
        <w:pStyle w:val="BodyText"/>
        <w:spacing w:before="1"/>
        <w:rPr>
          <w:sz w:val="23"/>
        </w:rPr>
      </w:pPr>
    </w:p>
    <w:p w14:paraId="13811DD1" w14:textId="5F5FFF9B" w:rsidR="00C53711" w:rsidRDefault="0092529C">
      <w:pPr>
        <w:pStyle w:val="Heading1"/>
      </w:pPr>
      <w:bookmarkStart w:id="24" w:name="Access_Badge_Requests"/>
      <w:bookmarkStart w:id="25" w:name="_Toc62558764"/>
      <w:bookmarkEnd w:id="24"/>
      <w:r>
        <w:t>Access Badge Requests</w:t>
      </w:r>
      <w:bookmarkEnd w:id="25"/>
    </w:p>
    <w:p w14:paraId="00DDD8F2" w14:textId="77777777" w:rsidR="002A3C08" w:rsidRDefault="002A3C08">
      <w:pPr>
        <w:pStyle w:val="Heading1"/>
      </w:pPr>
    </w:p>
    <w:p w14:paraId="1E82D85C" w14:textId="23A3B0CC" w:rsidR="009D5B27" w:rsidRDefault="0092529C" w:rsidP="009D5B27">
      <w:pPr>
        <w:pStyle w:val="BodyText"/>
        <w:spacing w:before="66" w:line="276" w:lineRule="auto"/>
        <w:ind w:left="220" w:right="315"/>
      </w:pPr>
      <w:r>
        <w:t xml:space="preserve">To receive your access badge all onboarding requirements </w:t>
      </w:r>
      <w:r w:rsidR="00CD6831">
        <w:t>must be</w:t>
      </w:r>
      <w:r>
        <w:t xml:space="preserve"> complete and</w:t>
      </w:r>
      <w:r w:rsidR="00F732E2">
        <w:t xml:space="preserve"> a</w:t>
      </w:r>
      <w:r>
        <w:t xml:space="preserve"> Badge Request Form </w:t>
      </w:r>
      <w:r w:rsidR="00F732E2">
        <w:t>must be submitted and approved</w:t>
      </w:r>
      <w:r>
        <w:t xml:space="preserve">. For planned outages, such as Turnaround, the Badge Request Form shall be submitted 21 days prior to arrival for work. For normal operations, Badge Request Forms must be received </w:t>
      </w:r>
      <w:r w:rsidR="0021764E">
        <w:t xml:space="preserve">at least </w:t>
      </w:r>
      <w:r w:rsidR="00984E5F">
        <w:t xml:space="preserve">one business day </w:t>
      </w:r>
      <w:r>
        <w:t>before arrival to process the badge request</w:t>
      </w:r>
      <w:r w:rsidR="00E8491F">
        <w:t>.</w:t>
      </w:r>
      <w:r w:rsidR="007F3784">
        <w:t xml:space="preserve"> Paperwork</w:t>
      </w:r>
      <w:r w:rsidR="00E8491F">
        <w:t xml:space="preserve"> </w:t>
      </w:r>
      <w:r w:rsidR="001B7413">
        <w:t>indicating</w:t>
      </w:r>
      <w:r w:rsidR="00E8491F" w:rsidRPr="00E8491F">
        <w:t xml:space="preserve"> completion of background check, drug/alcohol participation, and safety orientation must be delivered to the guard at time of initial badging (documents must be sent with employee).  </w:t>
      </w:r>
    </w:p>
    <w:p w14:paraId="07A4E728" w14:textId="17F7AEA6" w:rsidR="002A3C08" w:rsidRDefault="316D8016" w:rsidP="009D5B27">
      <w:pPr>
        <w:pStyle w:val="BodyText"/>
        <w:spacing w:before="66" w:line="276" w:lineRule="auto"/>
        <w:ind w:left="220" w:right="315"/>
      </w:pPr>
      <w:r>
        <w:t>Below</w:t>
      </w:r>
      <w:r w:rsidR="0409BCEC">
        <w:t xml:space="preserve"> </w:t>
      </w:r>
      <w:r w:rsidR="002A3C08">
        <w:t>is the required badge request form:</w:t>
      </w:r>
      <w:r w:rsidR="198BB92E">
        <w:t xml:space="preserve">  </w:t>
      </w:r>
    </w:p>
    <w:p w14:paraId="5E9989CC" w14:textId="43484AA6" w:rsidR="002A3C08" w:rsidRDefault="002A3C08">
      <w:pPr>
        <w:pStyle w:val="BodyText"/>
        <w:spacing w:before="66" w:line="276" w:lineRule="auto"/>
        <w:ind w:left="220" w:right="315"/>
      </w:pPr>
    </w:p>
    <w:p w14:paraId="357D8DA6" w14:textId="664E29D7" w:rsidR="002A3C08" w:rsidRDefault="00BC1547" w:rsidP="002A3C08">
      <w:pPr>
        <w:pStyle w:val="BodyText"/>
        <w:spacing w:before="66" w:line="276" w:lineRule="auto"/>
        <w:ind w:left="220" w:right="315"/>
        <w:jc w:val="center"/>
      </w:pPr>
      <w:r>
        <w:rPr>
          <w:noProof/>
        </w:rPr>
        <w:drawing>
          <wp:inline distT="0" distB="0" distL="0" distR="0" wp14:anchorId="577A8246" wp14:editId="1229DB8E">
            <wp:extent cx="1381125" cy="1381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4B2A79DD" w14:textId="2DD80E30" w:rsidR="00C53711" w:rsidRDefault="005D2DCA">
      <w:pPr>
        <w:pStyle w:val="BodyText"/>
        <w:spacing w:before="4"/>
        <w:rPr>
          <w:sz w:val="16"/>
        </w:rPr>
      </w:pPr>
      <w:hyperlink r:id="rId22" w:history="1">
        <w:r w:rsidR="0049295C">
          <w:rPr>
            <w:rStyle w:val="Hyperlink"/>
          </w:rPr>
          <w:t>https://forms.office.com/Pages/ResponsePage.aspx?id=zvRAFsaG8kSkdwa9OWF-l_hRlWGdr_dItX2tYdEOW-tURFJYRk5XWkI2WktKVzRWN00yTkg3V0s1OSQlQCN0PWcu</w:t>
        </w:r>
      </w:hyperlink>
    </w:p>
    <w:p w14:paraId="7DA3232D" w14:textId="77777777" w:rsidR="00C53711" w:rsidRDefault="00C53711">
      <w:pPr>
        <w:pStyle w:val="BodyText"/>
        <w:spacing w:before="1"/>
        <w:rPr>
          <w:sz w:val="15"/>
        </w:rPr>
      </w:pPr>
    </w:p>
    <w:p w14:paraId="76897F4A" w14:textId="0CE7C20A" w:rsidR="00C53711" w:rsidRDefault="0092529C" w:rsidP="7B057027">
      <w:pPr>
        <w:pStyle w:val="BodyText"/>
        <w:spacing w:before="57" w:line="276" w:lineRule="auto"/>
        <w:ind w:left="220"/>
        <w:rPr>
          <w:b/>
          <w:bCs/>
        </w:rPr>
      </w:pPr>
      <w:r>
        <w:t>Access badges can be received at the Security building at Gate 2. Provide</w:t>
      </w:r>
      <w:r w:rsidR="003161C9">
        <w:t xml:space="preserve"> proof of</w:t>
      </w:r>
      <w:r>
        <w:t xml:space="preserve"> your</w:t>
      </w:r>
      <w:r w:rsidRPr="00D14BEA">
        <w:rPr>
          <w:b/>
          <w:bCs/>
        </w:rPr>
        <w:t xml:space="preserve"> </w:t>
      </w:r>
      <w:r w:rsidRPr="003161C9">
        <w:t>OSCA</w:t>
      </w:r>
      <w:r w:rsidR="003161C9" w:rsidRPr="003161C9">
        <w:t>,</w:t>
      </w:r>
      <w:r w:rsidR="75B031BC">
        <w:t xml:space="preserve"> DISA</w:t>
      </w:r>
      <w:r w:rsidR="003161C9">
        <w:t xml:space="preserve"> or </w:t>
      </w:r>
      <w:proofErr w:type="spellStart"/>
      <w:r w:rsidR="003161C9">
        <w:t>RefineryPass</w:t>
      </w:r>
      <w:proofErr w:type="spellEnd"/>
      <w:r w:rsidR="00E27B93">
        <w:t xml:space="preserve"> training</w:t>
      </w:r>
      <w:r w:rsidR="003161C9">
        <w:t xml:space="preserve"> </w:t>
      </w:r>
      <w:r>
        <w:t>and Identification card (</w:t>
      </w:r>
      <w:r w:rsidRPr="00E27B93">
        <w:t>Driver’s License,</w:t>
      </w:r>
      <w:r>
        <w:t xml:space="preserve"> TWIC, etc.) to security.</w:t>
      </w:r>
      <w:r w:rsidR="1CE95EB0">
        <w:t xml:space="preserve">  </w:t>
      </w:r>
      <w:r w:rsidR="1CE95EB0" w:rsidRPr="7B057027">
        <w:rPr>
          <w:b/>
          <w:bCs/>
        </w:rPr>
        <w:t xml:space="preserve">NOTE:  IF a worker doesn’t not have the </w:t>
      </w:r>
      <w:r w:rsidR="00337056" w:rsidRPr="7B057027">
        <w:rPr>
          <w:b/>
          <w:bCs/>
        </w:rPr>
        <w:t>appropriate</w:t>
      </w:r>
      <w:r w:rsidR="1CE95EB0" w:rsidRPr="7B057027">
        <w:rPr>
          <w:b/>
          <w:bCs/>
        </w:rPr>
        <w:t xml:space="preserve"> paperwork when he/she arrives at Gate 2, they will be turned away.  It is the responsibility of the contract com</w:t>
      </w:r>
      <w:r w:rsidR="70AF8C90" w:rsidRPr="7B057027">
        <w:rPr>
          <w:b/>
          <w:bCs/>
        </w:rPr>
        <w:t>pany to supply all the badging paperwork</w:t>
      </w:r>
      <w:r w:rsidR="00CA4EC3">
        <w:rPr>
          <w:b/>
          <w:bCs/>
        </w:rPr>
        <w:t xml:space="preserve"> </w:t>
      </w:r>
      <w:r w:rsidR="008661F8">
        <w:rPr>
          <w:b/>
          <w:bCs/>
        </w:rPr>
        <w:t>(</w:t>
      </w:r>
      <w:r w:rsidR="00CA4EC3" w:rsidRPr="00CA4EC3">
        <w:rPr>
          <w:b/>
          <w:bCs/>
        </w:rPr>
        <w:t>background check, drug/alcohol participation, and safety orientation</w:t>
      </w:r>
      <w:r w:rsidR="00CA4EC3">
        <w:rPr>
          <w:b/>
          <w:bCs/>
        </w:rPr>
        <w:t>).</w:t>
      </w:r>
    </w:p>
    <w:p w14:paraId="5EF42E00" w14:textId="77777777" w:rsidR="002A3C08" w:rsidRDefault="002A3C08" w:rsidP="002A3C08">
      <w:pPr>
        <w:pStyle w:val="BodyText"/>
        <w:spacing w:before="57" w:line="276" w:lineRule="auto"/>
      </w:pPr>
    </w:p>
    <w:p w14:paraId="315CCDEB" w14:textId="77777777" w:rsidR="002A3C08" w:rsidRDefault="002A3C08">
      <w:pPr>
        <w:pStyle w:val="BodyText"/>
        <w:spacing w:before="57" w:line="276" w:lineRule="auto"/>
        <w:ind w:left="220"/>
      </w:pPr>
    </w:p>
    <w:p w14:paraId="5DBB910C" w14:textId="7FB86A6C" w:rsidR="00F0030A" w:rsidRDefault="00F0030A">
      <w:pPr>
        <w:pStyle w:val="BodyText"/>
        <w:spacing w:before="10"/>
        <w:rPr>
          <w:sz w:val="19"/>
        </w:rPr>
      </w:pPr>
    </w:p>
    <w:p w14:paraId="60D7B51B" w14:textId="77777777" w:rsidR="00F0030A" w:rsidRDefault="00F0030A">
      <w:pPr>
        <w:pStyle w:val="BodyText"/>
        <w:spacing w:before="10"/>
        <w:rPr>
          <w:sz w:val="19"/>
        </w:rPr>
      </w:pPr>
    </w:p>
    <w:p w14:paraId="58829750" w14:textId="77777777" w:rsidR="00C53711" w:rsidRDefault="0092529C">
      <w:pPr>
        <w:pStyle w:val="Heading1"/>
      </w:pPr>
      <w:bookmarkStart w:id="26" w:name="Escorting"/>
      <w:bookmarkStart w:id="27" w:name="_Toc62558765"/>
      <w:bookmarkEnd w:id="26"/>
      <w:r>
        <w:t>Escorting</w:t>
      </w:r>
      <w:bookmarkEnd w:id="27"/>
    </w:p>
    <w:p w14:paraId="24F3B37A" w14:textId="295C6ADC" w:rsidR="00C53711" w:rsidRDefault="0092529C">
      <w:pPr>
        <w:pStyle w:val="BodyText"/>
        <w:spacing w:before="64" w:line="276" w:lineRule="auto"/>
        <w:ind w:left="219" w:right="249"/>
      </w:pPr>
      <w:r>
        <w:t xml:space="preserve">Contractors may </w:t>
      </w:r>
      <w:r w:rsidR="5D8DAE7E">
        <w:t xml:space="preserve">not </w:t>
      </w:r>
      <w:r>
        <w:t>escort other contractors on refinery property without pre-approval from refinery personnel. This typically arises when a guest is visiting the site or when onboarding requirements have not yet been completed. To avoid delay receiving unescorted refinery access ensure that the applicable onboarding requirements are completed well ahead planned arrival. Consult with your refinery job rep/point of contact for additional information.</w:t>
      </w:r>
    </w:p>
    <w:p w14:paraId="343919E0" w14:textId="77777777" w:rsidR="00C53711" w:rsidRDefault="00C53711">
      <w:pPr>
        <w:pStyle w:val="BodyText"/>
        <w:spacing w:before="5"/>
        <w:rPr>
          <w:sz w:val="16"/>
        </w:rPr>
      </w:pPr>
    </w:p>
    <w:p w14:paraId="0DA275F4" w14:textId="77777777" w:rsidR="00C53711" w:rsidRDefault="0092529C">
      <w:pPr>
        <w:pStyle w:val="BodyText"/>
        <w:spacing w:line="276" w:lineRule="auto"/>
        <w:ind w:left="219" w:right="562"/>
      </w:pPr>
      <w:r>
        <w:t>Activities such as escorting cement, gravel, asphalt, job supplies, and other materials to the point of unloading or loading and back to the gate is allowed.</w:t>
      </w:r>
    </w:p>
    <w:p w14:paraId="2C93C15F" w14:textId="77777777" w:rsidR="00C53711" w:rsidRDefault="00C53711">
      <w:pPr>
        <w:pStyle w:val="BodyText"/>
        <w:spacing w:before="11"/>
        <w:rPr>
          <w:sz w:val="19"/>
        </w:rPr>
      </w:pPr>
    </w:p>
    <w:p w14:paraId="3B6E280A" w14:textId="77777777" w:rsidR="00C53711" w:rsidRDefault="0092529C">
      <w:pPr>
        <w:pStyle w:val="Heading1"/>
      </w:pPr>
      <w:bookmarkStart w:id="28" w:name="Facility_Siting"/>
      <w:bookmarkStart w:id="29" w:name="_Toc62558766"/>
      <w:bookmarkEnd w:id="28"/>
      <w:r>
        <w:t>Facility Siting</w:t>
      </w:r>
      <w:bookmarkEnd w:id="29"/>
    </w:p>
    <w:p w14:paraId="2C3BADE5" w14:textId="4A31D860" w:rsidR="00F0030A" w:rsidRDefault="0092529C" w:rsidP="00F0030A">
      <w:pPr>
        <w:pStyle w:val="BodyText"/>
        <w:spacing w:before="63" w:line="276" w:lineRule="auto"/>
        <w:ind w:left="220" w:right="234"/>
      </w:pPr>
      <w:r>
        <w:t>All permanent or temporary buildings, trailers, etc. shall be reviewed and approved by the refinery Facility Siting Coordinator prior to arriving at the refinery. If this is needed, contractors shall work with their refinery job rep/point of contact for all applicable forms for facility siting.  Facility Siting forms must be submitted a minimum of 14 working days prior to building</w:t>
      </w:r>
      <w:r>
        <w:rPr>
          <w:spacing w:val="-2"/>
        </w:rPr>
        <w:t xml:space="preserve"> </w:t>
      </w:r>
      <w:r>
        <w:t>arrival.</w:t>
      </w:r>
    </w:p>
    <w:p w14:paraId="4FD3D4B6" w14:textId="77777777" w:rsidR="00C53711" w:rsidRDefault="00C53711">
      <w:pPr>
        <w:pStyle w:val="BodyText"/>
        <w:spacing w:before="10"/>
        <w:rPr>
          <w:sz w:val="19"/>
        </w:rPr>
      </w:pPr>
      <w:bookmarkStart w:id="30" w:name="Short_Service_Employee_Program"/>
      <w:bookmarkEnd w:id="30"/>
    </w:p>
    <w:p w14:paraId="0C942A67" w14:textId="77777777" w:rsidR="00C53711" w:rsidRDefault="0092529C">
      <w:pPr>
        <w:pStyle w:val="Heading1"/>
      </w:pPr>
      <w:bookmarkStart w:id="31" w:name="Hazard_Communication"/>
      <w:bookmarkStart w:id="32" w:name="_Toc62558767"/>
      <w:bookmarkEnd w:id="31"/>
      <w:r>
        <w:t>Hazard Communication</w:t>
      </w:r>
      <w:bookmarkEnd w:id="32"/>
    </w:p>
    <w:p w14:paraId="2B2B748E" w14:textId="77777777" w:rsidR="00C53711" w:rsidRDefault="0092529C">
      <w:pPr>
        <w:pStyle w:val="BodyText"/>
        <w:spacing w:before="64" w:line="276" w:lineRule="auto"/>
        <w:ind w:left="220" w:right="443"/>
      </w:pPr>
      <w:r>
        <w:t>All Safety Data Sheets for products/chemicals that will be used and/or stored at the refinery must be submitted to the HSE department for review approval prior bringing the product/chemical onsite. Use the New Chemical Approval Form to request all new products/chemicals and attach the Safety Data Sheet. Each contract company shall train their employees on the applicable hazards, handling and storage of each product they use.</w:t>
      </w:r>
    </w:p>
    <w:p w14:paraId="3D233BD6" w14:textId="77777777" w:rsidR="00C53711" w:rsidRDefault="00C53711">
      <w:pPr>
        <w:pStyle w:val="BodyText"/>
        <w:spacing w:before="9"/>
        <w:rPr>
          <w:sz w:val="19"/>
        </w:rPr>
      </w:pPr>
    </w:p>
    <w:p w14:paraId="0BBB48D4" w14:textId="77777777" w:rsidR="00C53711" w:rsidRDefault="0092529C">
      <w:pPr>
        <w:pStyle w:val="Heading1"/>
        <w:spacing w:before="1"/>
      </w:pPr>
      <w:bookmarkStart w:id="33" w:name="Personal_Protective_Equipment_(PPE)"/>
      <w:bookmarkStart w:id="34" w:name="_Toc62558768"/>
      <w:bookmarkEnd w:id="33"/>
      <w:r>
        <w:t>Personal Protective Equipment (PPE)</w:t>
      </w:r>
      <w:bookmarkEnd w:id="34"/>
    </w:p>
    <w:p w14:paraId="2AE59674" w14:textId="77777777" w:rsidR="00C53711" w:rsidRDefault="0092529C">
      <w:pPr>
        <w:pStyle w:val="BodyText"/>
        <w:spacing w:before="63" w:line="276" w:lineRule="auto"/>
        <w:ind w:left="220" w:right="315"/>
      </w:pPr>
      <w:r>
        <w:t>Contract companies are responsible for supplying PPE to their employees. The refinery will not loan out PPE for contract company use, except for any unforeseen circumstances with approval from the refinery. Refer to RSSI 01- 05, Personal Protective Equipment, for additional details.</w:t>
      </w:r>
    </w:p>
    <w:p w14:paraId="44C9A4C6" w14:textId="77777777" w:rsidR="00C53711" w:rsidRDefault="00C53711">
      <w:pPr>
        <w:pStyle w:val="BodyText"/>
        <w:spacing w:before="11"/>
        <w:rPr>
          <w:sz w:val="19"/>
        </w:rPr>
      </w:pPr>
    </w:p>
    <w:p w14:paraId="06C32875" w14:textId="77777777" w:rsidR="00C53711" w:rsidRDefault="0092529C">
      <w:pPr>
        <w:pStyle w:val="Heading1"/>
      </w:pPr>
      <w:bookmarkStart w:id="35" w:name="Refinery_Rules,_Standards_and_Standing_I"/>
      <w:bookmarkStart w:id="36" w:name="_Toc62558769"/>
      <w:bookmarkEnd w:id="35"/>
      <w:r>
        <w:t>Refinery Rules, Standards and Standing Instructions (RSSI)</w:t>
      </w:r>
      <w:bookmarkEnd w:id="36"/>
    </w:p>
    <w:p w14:paraId="07F3D2E5" w14:textId="77777777" w:rsidR="00C53711" w:rsidRDefault="0092529C">
      <w:pPr>
        <w:pStyle w:val="BodyText"/>
        <w:spacing w:before="64" w:line="276" w:lineRule="auto"/>
        <w:ind w:left="220"/>
      </w:pPr>
      <w:r>
        <w:t>It is required that each contract company adhere to or exceed the requirements set for every RSSI. The refinery HSE department can be contacted for additional information and guidance.</w:t>
      </w:r>
    </w:p>
    <w:p w14:paraId="2FEE4C1F" w14:textId="77777777" w:rsidR="00C53711" w:rsidRDefault="00C53711">
      <w:pPr>
        <w:pStyle w:val="BodyText"/>
        <w:spacing w:before="10"/>
        <w:rPr>
          <w:sz w:val="19"/>
        </w:rPr>
      </w:pPr>
    </w:p>
    <w:p w14:paraId="63EB0C30" w14:textId="77777777" w:rsidR="00C53711" w:rsidRDefault="0092529C">
      <w:pPr>
        <w:pStyle w:val="Heading1"/>
        <w:spacing w:before="1"/>
      </w:pPr>
      <w:bookmarkStart w:id="37" w:name="Emergency_Work_Variance"/>
      <w:bookmarkStart w:id="38" w:name="_Toc62558770"/>
      <w:bookmarkEnd w:id="37"/>
      <w:r>
        <w:t>Emergency Work Variance</w:t>
      </w:r>
      <w:bookmarkEnd w:id="38"/>
    </w:p>
    <w:p w14:paraId="4B3F7FDA" w14:textId="77777777" w:rsidR="00C53711" w:rsidRDefault="0092529C">
      <w:pPr>
        <w:pStyle w:val="BodyText"/>
        <w:spacing w:before="63" w:line="276" w:lineRule="auto"/>
        <w:ind w:left="220" w:right="215"/>
      </w:pPr>
      <w:r>
        <w:t>In the situation when an emergency requires contractors or sub-contractors to conduct work without prior planning, a Refinery Leadership Team (RLT) member can grant a verbal variance to the Onboarding requirements. Refinery Security and Safety shall be informed to ensure that access to the refinery shall be granted.</w:t>
      </w:r>
    </w:p>
    <w:p w14:paraId="5E18B60B" w14:textId="77777777" w:rsidR="00C53711" w:rsidRDefault="00C53711">
      <w:pPr>
        <w:pStyle w:val="BodyText"/>
        <w:spacing w:before="9"/>
        <w:rPr>
          <w:sz w:val="19"/>
        </w:rPr>
      </w:pPr>
    </w:p>
    <w:p w14:paraId="750CBAC1" w14:textId="77777777" w:rsidR="00C53711" w:rsidRDefault="0092529C">
      <w:pPr>
        <w:pStyle w:val="Heading1"/>
      </w:pPr>
      <w:bookmarkStart w:id="39" w:name="Refinery_Onboarding_Contacts"/>
      <w:bookmarkStart w:id="40" w:name="_Toc62558771"/>
      <w:bookmarkEnd w:id="39"/>
      <w:r>
        <w:t>Refinery Onboarding Contacts</w:t>
      </w:r>
      <w:bookmarkEnd w:id="40"/>
    </w:p>
    <w:p w14:paraId="04657A80" w14:textId="138A681A" w:rsidR="00C53711" w:rsidRDefault="0092529C">
      <w:pPr>
        <w:pStyle w:val="BodyText"/>
        <w:spacing w:before="66" w:line="273" w:lineRule="auto"/>
        <w:ind w:left="220" w:right="620"/>
      </w:pPr>
      <w:r>
        <w:t xml:space="preserve">Contact your </w:t>
      </w:r>
      <w:r w:rsidRPr="00CA7503">
        <w:rPr>
          <w:u w:val="single"/>
        </w:rPr>
        <w:t>refinery job rep, sponsor, or primary point of contact</w:t>
      </w:r>
      <w:r>
        <w:t xml:space="preserve"> for all onboarding related questions. </w:t>
      </w:r>
    </w:p>
    <w:p w14:paraId="441921B1" w14:textId="77777777" w:rsidR="00C53711" w:rsidRDefault="00C53711">
      <w:pPr>
        <w:pStyle w:val="BodyText"/>
        <w:spacing w:before="9"/>
        <w:rPr>
          <w:sz w:val="16"/>
        </w:rPr>
      </w:pPr>
    </w:p>
    <w:p w14:paraId="24B431BB" w14:textId="7A54198C" w:rsidR="000E56AA" w:rsidRDefault="000E56AA"/>
    <w:p w14:paraId="3F3D829F" w14:textId="2D794FF2" w:rsidR="0041799B" w:rsidRDefault="0041799B"/>
    <w:p w14:paraId="026F6048" w14:textId="77777777" w:rsidR="000D253E" w:rsidRDefault="000D253E"/>
    <w:p w14:paraId="7EEE009C" w14:textId="3499BC68" w:rsidR="00E07C7C" w:rsidRDefault="000D253E">
      <w:r w:rsidRPr="000D253E">
        <w:rPr>
          <w:noProof/>
        </w:rPr>
        <w:drawing>
          <wp:inline distT="0" distB="0" distL="0" distR="0" wp14:anchorId="08DDA78B" wp14:editId="227E9A08">
            <wp:extent cx="6591300" cy="7315200"/>
            <wp:effectExtent l="152400" t="152400" r="361950" b="361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91300" cy="7315200"/>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E07C7C">
      <w:pgSz w:w="12240" w:h="15840"/>
      <w:pgMar w:top="1700" w:right="680" w:bottom="620" w:left="680" w:header="725"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13F7" w14:textId="77777777" w:rsidR="005D2DCA" w:rsidRDefault="005D2DCA">
      <w:r>
        <w:separator/>
      </w:r>
    </w:p>
  </w:endnote>
  <w:endnote w:type="continuationSeparator" w:id="0">
    <w:p w14:paraId="22F44A51" w14:textId="77777777" w:rsidR="005D2DCA" w:rsidRDefault="005D2DCA">
      <w:r>
        <w:continuationSeparator/>
      </w:r>
    </w:p>
  </w:endnote>
  <w:endnote w:type="continuationNotice" w:id="1">
    <w:p w14:paraId="2A237125" w14:textId="77777777" w:rsidR="005D2DCA" w:rsidRDefault="005D2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CD25" w14:textId="77777777" w:rsidR="00C53711" w:rsidRDefault="00D31939">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4FC5A09" wp14:editId="6E2A6C4E">
              <wp:simplePos x="0" y="0"/>
              <wp:positionH relativeFrom="page">
                <wp:posOffset>3829050</wp:posOffset>
              </wp:positionH>
              <wp:positionV relativeFrom="page">
                <wp:posOffset>9640570</wp:posOffset>
              </wp:positionV>
              <wp:extent cx="266700" cy="22733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EBDB8" w14:textId="77777777" w:rsidR="00C53711" w:rsidRDefault="0092529C">
                          <w:pPr>
                            <w:pStyle w:val="BodyText"/>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C5A09" id="_x0000_t202" coordsize="21600,21600" o:spt="202" path="m,l,21600r21600,l21600,xe">
              <v:stroke joinstyle="miter"/>
              <v:path gradientshapeok="t" o:connecttype="rect"/>
            </v:shapetype>
            <v:shape id="Text Box 1" o:spid="_x0000_s1027" type="#_x0000_t202" style="position:absolute;margin-left:301.5pt;margin-top:759.1pt;width:21pt;height:17.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" filled="f" stroked="f">
              <v:textbox inset="0,0,0,0">
                <w:txbxContent>
                  <w:p w14:paraId="62CEBDB8" w14:textId="77777777" w:rsidR="00C53711" w:rsidRDefault="0092529C">
                    <w:pPr>
                      <w:pStyle w:val="BodyText"/>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27BF" w14:textId="77777777" w:rsidR="005D2DCA" w:rsidRDefault="005D2DCA">
      <w:r>
        <w:separator/>
      </w:r>
    </w:p>
  </w:footnote>
  <w:footnote w:type="continuationSeparator" w:id="0">
    <w:p w14:paraId="5AC37F68" w14:textId="77777777" w:rsidR="005D2DCA" w:rsidRDefault="005D2DCA">
      <w:r>
        <w:continuationSeparator/>
      </w:r>
    </w:p>
  </w:footnote>
  <w:footnote w:type="continuationNotice" w:id="1">
    <w:p w14:paraId="0745C327" w14:textId="77777777" w:rsidR="005D2DCA" w:rsidRDefault="005D2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F273" w14:textId="77777777" w:rsidR="00C53711" w:rsidRDefault="00D31939">
    <w:pPr>
      <w:pStyle w:val="BodyText"/>
      <w:spacing w:line="14" w:lineRule="auto"/>
      <w:rPr>
        <w:sz w:val="20"/>
      </w:rPr>
    </w:pPr>
    <w:r>
      <w:rPr>
        <w:noProof/>
      </w:rPr>
      <mc:AlternateContent>
        <mc:Choice Requires="wps">
          <w:drawing>
            <wp:anchor distT="0" distB="0" distL="114300" distR="114300" simplePos="0" relativeHeight="251658240" behindDoc="0" locked="0" layoutInCell="1" allowOverlap="1" wp14:anchorId="06FF0691" wp14:editId="00ABAC44">
              <wp:simplePos x="0" y="0"/>
              <wp:positionH relativeFrom="page">
                <wp:posOffset>499745</wp:posOffset>
              </wp:positionH>
              <wp:positionV relativeFrom="page">
                <wp:posOffset>457200</wp:posOffset>
              </wp:positionV>
              <wp:extent cx="6776085" cy="632460"/>
              <wp:effectExtent l="4445"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6699"/>
                            <w:gridCol w:w="2357"/>
                          </w:tblGrid>
                          <w:tr w:rsidR="00C53711" w14:paraId="149CCC90" w14:textId="77777777">
                            <w:trPr>
                              <w:trHeight w:val="976"/>
                            </w:trPr>
                            <w:tc>
                              <w:tcPr>
                                <w:tcW w:w="1601" w:type="dxa"/>
                              </w:tcPr>
                              <w:p w14:paraId="2D9DDB6C" w14:textId="77777777" w:rsidR="00C53711" w:rsidRDefault="00C53711">
                                <w:pPr>
                                  <w:pStyle w:val="TableParagraph"/>
                                  <w:spacing w:before="1"/>
                                  <w:ind w:left="0"/>
                                  <w:rPr>
                                    <w:rFonts w:ascii="Times New Roman"/>
                                    <w:sz w:val="8"/>
                                  </w:rPr>
                                </w:pPr>
                              </w:p>
                              <w:p w14:paraId="1BF77935" w14:textId="77777777" w:rsidR="00C53711" w:rsidRDefault="0092529C">
                                <w:pPr>
                                  <w:pStyle w:val="TableParagraph"/>
                                  <w:ind w:left="297"/>
                                  <w:rPr>
                                    <w:rFonts w:ascii="Times New Roman"/>
                                    <w:sz w:val="20"/>
                                  </w:rPr>
                                </w:pPr>
                                <w:r>
                                  <w:rPr>
                                    <w:rFonts w:ascii="Times New Roman"/>
                                    <w:noProof/>
                                    <w:sz w:val="20"/>
                                  </w:rPr>
                                  <w:drawing>
                                    <wp:inline distT="0" distB="0" distL="0" distR="0" wp14:anchorId="38C2276C" wp14:editId="0B6F2817">
                                      <wp:extent cx="658885" cy="512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8885" cy="512064"/>
                                              </a:xfrm>
                                              <a:prstGeom prst="rect">
                                                <a:avLst/>
                                              </a:prstGeom>
                                            </pic:spPr>
                                          </pic:pic>
                                        </a:graphicData>
                                      </a:graphic>
                                    </wp:inline>
                                  </w:drawing>
                                </w:r>
                              </w:p>
                            </w:tc>
                            <w:tc>
                              <w:tcPr>
                                <w:tcW w:w="6699" w:type="dxa"/>
                              </w:tcPr>
                              <w:p w14:paraId="7FF197DA" w14:textId="77777777" w:rsidR="00C53711" w:rsidRDefault="0092529C">
                                <w:pPr>
                                  <w:pStyle w:val="TableParagraph"/>
                                  <w:spacing w:line="486" w:lineRule="exact"/>
                                  <w:ind w:left="107"/>
                                  <w:rPr>
                                    <w:b/>
                                    <w:sz w:val="40"/>
                                  </w:rPr>
                                </w:pPr>
                                <w:r>
                                  <w:rPr>
                                    <w:b/>
                                    <w:color w:val="002060"/>
                                    <w:sz w:val="40"/>
                                  </w:rPr>
                                  <w:t>Mandan Refinery</w:t>
                                </w:r>
                              </w:p>
                              <w:p w14:paraId="725B8FD6" w14:textId="77777777" w:rsidR="00C53711" w:rsidRDefault="0092529C">
                                <w:pPr>
                                  <w:pStyle w:val="TableParagraph"/>
                                  <w:spacing w:before="1" w:line="469" w:lineRule="exact"/>
                                  <w:ind w:left="107"/>
                                  <w:rPr>
                                    <w:b/>
                                    <w:sz w:val="40"/>
                                  </w:rPr>
                                </w:pPr>
                                <w:r>
                                  <w:rPr>
                                    <w:b/>
                                    <w:color w:val="002060"/>
                                    <w:sz w:val="40"/>
                                  </w:rPr>
                                  <w:t>Contractor Onboarding Guide</w:t>
                                </w:r>
                              </w:p>
                            </w:tc>
                            <w:tc>
                              <w:tcPr>
                                <w:tcW w:w="2357" w:type="dxa"/>
                              </w:tcPr>
                              <w:p w14:paraId="3DA9F882" w14:textId="77777777" w:rsidR="00C53711" w:rsidRDefault="0092529C">
                                <w:pPr>
                                  <w:pStyle w:val="TableParagraph"/>
                                  <w:spacing w:line="292" w:lineRule="exact"/>
                                  <w:ind w:left="104"/>
                                  <w:rPr>
                                    <w:b/>
                                    <w:sz w:val="24"/>
                                  </w:rPr>
                                </w:pPr>
                                <w:r>
                                  <w:rPr>
                                    <w:b/>
                                    <w:color w:val="3E3E3E"/>
                                    <w:sz w:val="24"/>
                                  </w:rPr>
                                  <w:t>RSSI 01-65b</w:t>
                                </w:r>
                              </w:p>
                              <w:p w14:paraId="3CAF5F21" w14:textId="2CD177AC" w:rsidR="00F33824" w:rsidRDefault="0092529C">
                                <w:pPr>
                                  <w:pStyle w:val="TableParagraph"/>
                                  <w:ind w:left="104" w:right="189"/>
                                  <w:rPr>
                                    <w:b/>
                                    <w:color w:val="3E3E3E"/>
                                    <w:sz w:val="24"/>
                                  </w:rPr>
                                </w:pPr>
                                <w:r>
                                  <w:rPr>
                                    <w:b/>
                                    <w:color w:val="3E3E3E"/>
                                    <w:sz w:val="24"/>
                                  </w:rPr>
                                  <w:t xml:space="preserve">Version </w:t>
                                </w:r>
                                <w:r w:rsidR="00BA18A1">
                                  <w:rPr>
                                    <w:b/>
                                    <w:color w:val="3E3E3E"/>
                                    <w:sz w:val="24"/>
                                  </w:rPr>
                                  <w:t>2</w:t>
                                </w:r>
                              </w:p>
                              <w:p w14:paraId="2EE14EE7" w14:textId="54CFAFC0" w:rsidR="00C53711" w:rsidRDefault="0092529C">
                                <w:pPr>
                                  <w:pStyle w:val="TableParagraph"/>
                                  <w:ind w:left="104" w:right="189"/>
                                  <w:rPr>
                                    <w:b/>
                                    <w:sz w:val="24"/>
                                  </w:rPr>
                                </w:pPr>
                                <w:r>
                                  <w:rPr>
                                    <w:b/>
                                    <w:color w:val="3E3E3E"/>
                                    <w:sz w:val="24"/>
                                  </w:rPr>
                                  <w:t xml:space="preserve">Updated: </w:t>
                                </w:r>
                                <w:r w:rsidR="00D34F83">
                                  <w:rPr>
                                    <w:b/>
                                    <w:color w:val="3E3E3E"/>
                                    <w:sz w:val="24"/>
                                  </w:rPr>
                                  <w:t>9/15/</w:t>
                                </w:r>
                                <w:r w:rsidR="004051A9">
                                  <w:rPr>
                                    <w:b/>
                                    <w:color w:val="3E3E3E"/>
                                    <w:sz w:val="24"/>
                                  </w:rPr>
                                  <w:t>2020</w:t>
                                </w:r>
                              </w:p>
                            </w:tc>
                          </w:tr>
                        </w:tbl>
                        <w:p w14:paraId="5E605F37" w14:textId="77777777" w:rsidR="00C53711" w:rsidRDefault="00C537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F0691" id="_x0000_t202" coordsize="21600,21600" o:spt="202" path="m,l,21600r21600,l21600,xe">
              <v:stroke joinstyle="miter"/>
              <v:path gradientshapeok="t" o:connecttype="rect"/>
            </v:shapetype>
            <v:shape id="Text Box 2" o:spid="_x0000_s1026" type="#_x0000_t202" style="position:absolute;margin-left:39.35pt;margin-top:36pt;width:533.55pt;height:4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6699"/>
                      <w:gridCol w:w="2357"/>
                    </w:tblGrid>
                    <w:tr w:rsidR="00C53711" w14:paraId="149CCC90" w14:textId="77777777">
                      <w:trPr>
                        <w:trHeight w:val="976"/>
                      </w:trPr>
                      <w:tc>
                        <w:tcPr>
                          <w:tcW w:w="1601" w:type="dxa"/>
                        </w:tcPr>
                        <w:p w14:paraId="2D9DDB6C" w14:textId="77777777" w:rsidR="00C53711" w:rsidRDefault="00C53711">
                          <w:pPr>
                            <w:pStyle w:val="TableParagraph"/>
                            <w:spacing w:before="1"/>
                            <w:ind w:left="0"/>
                            <w:rPr>
                              <w:rFonts w:ascii="Times New Roman"/>
                              <w:sz w:val="8"/>
                            </w:rPr>
                          </w:pPr>
                        </w:p>
                        <w:p w14:paraId="1BF77935" w14:textId="77777777" w:rsidR="00C53711" w:rsidRDefault="0092529C">
                          <w:pPr>
                            <w:pStyle w:val="TableParagraph"/>
                            <w:ind w:left="297"/>
                            <w:rPr>
                              <w:rFonts w:ascii="Times New Roman"/>
                              <w:sz w:val="20"/>
                            </w:rPr>
                          </w:pPr>
                          <w:r>
                            <w:rPr>
                              <w:rFonts w:ascii="Times New Roman"/>
                              <w:noProof/>
                              <w:sz w:val="20"/>
                            </w:rPr>
                            <w:drawing>
                              <wp:inline distT="0" distB="0" distL="0" distR="0" wp14:anchorId="38C2276C" wp14:editId="0B6F2817">
                                <wp:extent cx="658885" cy="512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8885" cy="512064"/>
                                        </a:xfrm>
                                        <a:prstGeom prst="rect">
                                          <a:avLst/>
                                        </a:prstGeom>
                                      </pic:spPr>
                                    </pic:pic>
                                  </a:graphicData>
                                </a:graphic>
                              </wp:inline>
                            </w:drawing>
                          </w:r>
                        </w:p>
                      </w:tc>
                      <w:tc>
                        <w:tcPr>
                          <w:tcW w:w="6699" w:type="dxa"/>
                        </w:tcPr>
                        <w:p w14:paraId="7FF197DA" w14:textId="77777777" w:rsidR="00C53711" w:rsidRDefault="0092529C">
                          <w:pPr>
                            <w:pStyle w:val="TableParagraph"/>
                            <w:spacing w:line="486" w:lineRule="exact"/>
                            <w:ind w:left="107"/>
                            <w:rPr>
                              <w:b/>
                              <w:sz w:val="40"/>
                            </w:rPr>
                          </w:pPr>
                          <w:r>
                            <w:rPr>
                              <w:b/>
                              <w:color w:val="002060"/>
                              <w:sz w:val="40"/>
                            </w:rPr>
                            <w:t>Mandan Refinery</w:t>
                          </w:r>
                        </w:p>
                        <w:p w14:paraId="725B8FD6" w14:textId="77777777" w:rsidR="00C53711" w:rsidRDefault="0092529C">
                          <w:pPr>
                            <w:pStyle w:val="TableParagraph"/>
                            <w:spacing w:before="1" w:line="469" w:lineRule="exact"/>
                            <w:ind w:left="107"/>
                            <w:rPr>
                              <w:b/>
                              <w:sz w:val="40"/>
                            </w:rPr>
                          </w:pPr>
                          <w:r>
                            <w:rPr>
                              <w:b/>
                              <w:color w:val="002060"/>
                              <w:sz w:val="40"/>
                            </w:rPr>
                            <w:t>Contractor Onboarding Guide</w:t>
                          </w:r>
                        </w:p>
                      </w:tc>
                      <w:tc>
                        <w:tcPr>
                          <w:tcW w:w="2357" w:type="dxa"/>
                        </w:tcPr>
                        <w:p w14:paraId="3DA9F882" w14:textId="77777777" w:rsidR="00C53711" w:rsidRDefault="0092529C">
                          <w:pPr>
                            <w:pStyle w:val="TableParagraph"/>
                            <w:spacing w:line="292" w:lineRule="exact"/>
                            <w:ind w:left="104"/>
                            <w:rPr>
                              <w:b/>
                              <w:sz w:val="24"/>
                            </w:rPr>
                          </w:pPr>
                          <w:r>
                            <w:rPr>
                              <w:b/>
                              <w:color w:val="3E3E3E"/>
                              <w:sz w:val="24"/>
                            </w:rPr>
                            <w:t>RSSI 01-65b</w:t>
                          </w:r>
                        </w:p>
                        <w:p w14:paraId="3CAF5F21" w14:textId="2CD177AC" w:rsidR="00F33824" w:rsidRDefault="0092529C">
                          <w:pPr>
                            <w:pStyle w:val="TableParagraph"/>
                            <w:ind w:left="104" w:right="189"/>
                            <w:rPr>
                              <w:b/>
                              <w:color w:val="3E3E3E"/>
                              <w:sz w:val="24"/>
                            </w:rPr>
                          </w:pPr>
                          <w:r>
                            <w:rPr>
                              <w:b/>
                              <w:color w:val="3E3E3E"/>
                              <w:sz w:val="24"/>
                            </w:rPr>
                            <w:t xml:space="preserve">Version </w:t>
                          </w:r>
                          <w:r w:rsidR="00BA18A1">
                            <w:rPr>
                              <w:b/>
                              <w:color w:val="3E3E3E"/>
                              <w:sz w:val="24"/>
                            </w:rPr>
                            <w:t>2</w:t>
                          </w:r>
                        </w:p>
                        <w:p w14:paraId="2EE14EE7" w14:textId="54CFAFC0" w:rsidR="00C53711" w:rsidRDefault="0092529C">
                          <w:pPr>
                            <w:pStyle w:val="TableParagraph"/>
                            <w:ind w:left="104" w:right="189"/>
                            <w:rPr>
                              <w:b/>
                              <w:sz w:val="24"/>
                            </w:rPr>
                          </w:pPr>
                          <w:r>
                            <w:rPr>
                              <w:b/>
                              <w:color w:val="3E3E3E"/>
                              <w:sz w:val="24"/>
                            </w:rPr>
                            <w:t xml:space="preserve">Updated: </w:t>
                          </w:r>
                          <w:r w:rsidR="00D34F83">
                            <w:rPr>
                              <w:b/>
                              <w:color w:val="3E3E3E"/>
                              <w:sz w:val="24"/>
                            </w:rPr>
                            <w:t>9/15/</w:t>
                          </w:r>
                          <w:r w:rsidR="004051A9">
                            <w:rPr>
                              <w:b/>
                              <w:color w:val="3E3E3E"/>
                              <w:sz w:val="24"/>
                            </w:rPr>
                            <w:t>2020</w:t>
                          </w:r>
                        </w:p>
                      </w:tc>
                    </w:tr>
                  </w:tbl>
                  <w:p w14:paraId="5E605F37" w14:textId="77777777" w:rsidR="00C53711" w:rsidRDefault="00C53711">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509B0"/>
    <w:multiLevelType w:val="hybridMultilevel"/>
    <w:tmpl w:val="BEC4147E"/>
    <w:lvl w:ilvl="0" w:tplc="9098C344">
      <w:numFmt w:val="bullet"/>
      <w:lvlText w:val=""/>
      <w:lvlJc w:val="left"/>
      <w:pPr>
        <w:ind w:left="940" w:hanging="361"/>
      </w:pPr>
      <w:rPr>
        <w:rFonts w:ascii="Symbol" w:eastAsia="Symbol" w:hAnsi="Symbol" w:cs="Symbol" w:hint="default"/>
        <w:w w:val="100"/>
        <w:sz w:val="22"/>
        <w:szCs w:val="22"/>
        <w:lang w:val="en-US" w:eastAsia="en-US" w:bidi="en-US"/>
      </w:rPr>
    </w:lvl>
    <w:lvl w:ilvl="1" w:tplc="A2ECDFE4">
      <w:numFmt w:val="bullet"/>
      <w:lvlText w:val="•"/>
      <w:lvlJc w:val="left"/>
      <w:pPr>
        <w:ind w:left="1320" w:hanging="361"/>
      </w:pPr>
      <w:rPr>
        <w:rFonts w:hint="default"/>
        <w:lang w:val="en-US" w:eastAsia="en-US" w:bidi="en-US"/>
      </w:rPr>
    </w:lvl>
    <w:lvl w:ilvl="2" w:tplc="DFCC2CB2">
      <w:numFmt w:val="bullet"/>
      <w:lvlText w:val="•"/>
      <w:lvlJc w:val="left"/>
      <w:pPr>
        <w:ind w:left="1701" w:hanging="361"/>
      </w:pPr>
      <w:rPr>
        <w:rFonts w:hint="default"/>
        <w:lang w:val="en-US" w:eastAsia="en-US" w:bidi="en-US"/>
      </w:rPr>
    </w:lvl>
    <w:lvl w:ilvl="3" w:tplc="0FCC64AE">
      <w:numFmt w:val="bullet"/>
      <w:lvlText w:val="•"/>
      <w:lvlJc w:val="left"/>
      <w:pPr>
        <w:ind w:left="2082" w:hanging="361"/>
      </w:pPr>
      <w:rPr>
        <w:rFonts w:hint="default"/>
        <w:lang w:val="en-US" w:eastAsia="en-US" w:bidi="en-US"/>
      </w:rPr>
    </w:lvl>
    <w:lvl w:ilvl="4" w:tplc="DD3C0098">
      <w:numFmt w:val="bullet"/>
      <w:lvlText w:val="•"/>
      <w:lvlJc w:val="left"/>
      <w:pPr>
        <w:ind w:left="2463" w:hanging="361"/>
      </w:pPr>
      <w:rPr>
        <w:rFonts w:hint="default"/>
        <w:lang w:val="en-US" w:eastAsia="en-US" w:bidi="en-US"/>
      </w:rPr>
    </w:lvl>
    <w:lvl w:ilvl="5" w:tplc="3B326F6E">
      <w:numFmt w:val="bullet"/>
      <w:lvlText w:val="•"/>
      <w:lvlJc w:val="left"/>
      <w:pPr>
        <w:ind w:left="2844" w:hanging="361"/>
      </w:pPr>
      <w:rPr>
        <w:rFonts w:hint="default"/>
        <w:lang w:val="en-US" w:eastAsia="en-US" w:bidi="en-US"/>
      </w:rPr>
    </w:lvl>
    <w:lvl w:ilvl="6" w:tplc="530C67B4">
      <w:numFmt w:val="bullet"/>
      <w:lvlText w:val="•"/>
      <w:lvlJc w:val="left"/>
      <w:pPr>
        <w:ind w:left="3225" w:hanging="361"/>
      </w:pPr>
      <w:rPr>
        <w:rFonts w:hint="default"/>
        <w:lang w:val="en-US" w:eastAsia="en-US" w:bidi="en-US"/>
      </w:rPr>
    </w:lvl>
    <w:lvl w:ilvl="7" w:tplc="ED240A66">
      <w:numFmt w:val="bullet"/>
      <w:lvlText w:val="•"/>
      <w:lvlJc w:val="left"/>
      <w:pPr>
        <w:ind w:left="3606" w:hanging="361"/>
      </w:pPr>
      <w:rPr>
        <w:rFonts w:hint="default"/>
        <w:lang w:val="en-US" w:eastAsia="en-US" w:bidi="en-US"/>
      </w:rPr>
    </w:lvl>
    <w:lvl w:ilvl="8" w:tplc="63CE6486">
      <w:numFmt w:val="bullet"/>
      <w:lvlText w:val="•"/>
      <w:lvlJc w:val="left"/>
      <w:pPr>
        <w:ind w:left="3986" w:hanging="361"/>
      </w:pPr>
      <w:rPr>
        <w:rFonts w:hint="default"/>
        <w:lang w:val="en-US" w:eastAsia="en-US" w:bidi="en-US"/>
      </w:rPr>
    </w:lvl>
  </w:abstractNum>
  <w:abstractNum w:abstractNumId="1" w15:restartNumberingAfterBreak="0">
    <w:nsid w:val="440C3A73"/>
    <w:multiLevelType w:val="hybridMultilevel"/>
    <w:tmpl w:val="FEBE8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373563"/>
    <w:multiLevelType w:val="hybridMultilevel"/>
    <w:tmpl w:val="891EB0C8"/>
    <w:lvl w:ilvl="0" w:tplc="7B40D0F6">
      <w:numFmt w:val="bullet"/>
      <w:lvlText w:val=""/>
      <w:lvlJc w:val="left"/>
      <w:pPr>
        <w:ind w:left="465" w:hanging="360"/>
      </w:pPr>
      <w:rPr>
        <w:rFonts w:ascii="Symbol" w:eastAsia="Symbol" w:hAnsi="Symbol" w:cs="Symbol" w:hint="default"/>
        <w:w w:val="99"/>
        <w:sz w:val="20"/>
        <w:szCs w:val="20"/>
        <w:lang w:val="en-US" w:eastAsia="en-US" w:bidi="en-US"/>
      </w:rPr>
    </w:lvl>
    <w:lvl w:ilvl="1" w:tplc="1888720A">
      <w:numFmt w:val="bullet"/>
      <w:lvlText w:val="o"/>
      <w:lvlJc w:val="left"/>
      <w:pPr>
        <w:ind w:left="916" w:hanging="360"/>
      </w:pPr>
      <w:rPr>
        <w:rFonts w:ascii="Courier New" w:eastAsia="Courier New" w:hAnsi="Courier New" w:cs="Courier New" w:hint="default"/>
        <w:w w:val="99"/>
        <w:sz w:val="20"/>
        <w:szCs w:val="20"/>
        <w:lang w:val="en-US" w:eastAsia="en-US" w:bidi="en-US"/>
      </w:rPr>
    </w:lvl>
    <w:lvl w:ilvl="2" w:tplc="77BE0F3C">
      <w:numFmt w:val="bullet"/>
      <w:lvlText w:val="•"/>
      <w:lvlJc w:val="left"/>
      <w:pPr>
        <w:ind w:left="1386" w:hanging="360"/>
      </w:pPr>
      <w:rPr>
        <w:rFonts w:hint="default"/>
        <w:lang w:val="en-US" w:eastAsia="en-US" w:bidi="en-US"/>
      </w:rPr>
    </w:lvl>
    <w:lvl w:ilvl="3" w:tplc="E57A0D94">
      <w:numFmt w:val="bullet"/>
      <w:lvlText w:val="•"/>
      <w:lvlJc w:val="left"/>
      <w:pPr>
        <w:ind w:left="1853" w:hanging="360"/>
      </w:pPr>
      <w:rPr>
        <w:rFonts w:hint="default"/>
        <w:lang w:val="en-US" w:eastAsia="en-US" w:bidi="en-US"/>
      </w:rPr>
    </w:lvl>
    <w:lvl w:ilvl="4" w:tplc="3B58FA0A">
      <w:numFmt w:val="bullet"/>
      <w:lvlText w:val="•"/>
      <w:lvlJc w:val="left"/>
      <w:pPr>
        <w:ind w:left="2319" w:hanging="360"/>
      </w:pPr>
      <w:rPr>
        <w:rFonts w:hint="default"/>
        <w:lang w:val="en-US" w:eastAsia="en-US" w:bidi="en-US"/>
      </w:rPr>
    </w:lvl>
    <w:lvl w:ilvl="5" w:tplc="F4EEDA9A">
      <w:numFmt w:val="bullet"/>
      <w:lvlText w:val="•"/>
      <w:lvlJc w:val="left"/>
      <w:pPr>
        <w:ind w:left="2786" w:hanging="360"/>
      </w:pPr>
      <w:rPr>
        <w:rFonts w:hint="default"/>
        <w:lang w:val="en-US" w:eastAsia="en-US" w:bidi="en-US"/>
      </w:rPr>
    </w:lvl>
    <w:lvl w:ilvl="6" w:tplc="C43CE2DA">
      <w:numFmt w:val="bullet"/>
      <w:lvlText w:val="•"/>
      <w:lvlJc w:val="left"/>
      <w:pPr>
        <w:ind w:left="3252" w:hanging="360"/>
      </w:pPr>
      <w:rPr>
        <w:rFonts w:hint="default"/>
        <w:lang w:val="en-US" w:eastAsia="en-US" w:bidi="en-US"/>
      </w:rPr>
    </w:lvl>
    <w:lvl w:ilvl="7" w:tplc="538EEABC">
      <w:numFmt w:val="bullet"/>
      <w:lvlText w:val="•"/>
      <w:lvlJc w:val="left"/>
      <w:pPr>
        <w:ind w:left="3719" w:hanging="360"/>
      </w:pPr>
      <w:rPr>
        <w:rFonts w:hint="default"/>
        <w:lang w:val="en-US" w:eastAsia="en-US" w:bidi="en-US"/>
      </w:rPr>
    </w:lvl>
    <w:lvl w:ilvl="8" w:tplc="B84A6DFC">
      <w:numFmt w:val="bullet"/>
      <w:lvlText w:val="•"/>
      <w:lvlJc w:val="left"/>
      <w:pPr>
        <w:ind w:left="4185" w:hanging="360"/>
      </w:pPr>
      <w:rPr>
        <w:rFonts w:hint="default"/>
        <w:lang w:val="en-US" w:eastAsia="en-US" w:bidi="en-US"/>
      </w:rPr>
    </w:lvl>
  </w:abstractNum>
  <w:abstractNum w:abstractNumId="3" w15:restartNumberingAfterBreak="0">
    <w:nsid w:val="6E493450"/>
    <w:multiLevelType w:val="hybridMultilevel"/>
    <w:tmpl w:val="612A0716"/>
    <w:lvl w:ilvl="0" w:tplc="52BA2342">
      <w:start w:val="1"/>
      <w:numFmt w:val="bullet"/>
      <w:lvlText w:val=""/>
      <w:lvlJc w:val="left"/>
      <w:pPr>
        <w:ind w:left="720" w:hanging="360"/>
      </w:pPr>
      <w:rPr>
        <w:rFonts w:ascii="Symbol" w:hAnsi="Symbol" w:hint="default"/>
      </w:rPr>
    </w:lvl>
    <w:lvl w:ilvl="1" w:tplc="FAF8C88C">
      <w:start w:val="1"/>
      <w:numFmt w:val="bullet"/>
      <w:lvlText w:val="o"/>
      <w:lvlJc w:val="left"/>
      <w:pPr>
        <w:ind w:left="1440" w:hanging="360"/>
      </w:pPr>
      <w:rPr>
        <w:rFonts w:ascii="Courier New" w:hAnsi="Courier New" w:hint="default"/>
      </w:rPr>
    </w:lvl>
    <w:lvl w:ilvl="2" w:tplc="47B6916A">
      <w:start w:val="1"/>
      <w:numFmt w:val="bullet"/>
      <w:lvlText w:val=""/>
      <w:lvlJc w:val="left"/>
      <w:pPr>
        <w:ind w:left="2160" w:hanging="360"/>
      </w:pPr>
      <w:rPr>
        <w:rFonts w:ascii="Wingdings" w:hAnsi="Wingdings" w:hint="default"/>
      </w:rPr>
    </w:lvl>
    <w:lvl w:ilvl="3" w:tplc="FDECFEBE">
      <w:start w:val="1"/>
      <w:numFmt w:val="bullet"/>
      <w:lvlText w:val=""/>
      <w:lvlJc w:val="left"/>
      <w:pPr>
        <w:ind w:left="2880" w:hanging="360"/>
      </w:pPr>
      <w:rPr>
        <w:rFonts w:ascii="Symbol" w:hAnsi="Symbol" w:hint="default"/>
      </w:rPr>
    </w:lvl>
    <w:lvl w:ilvl="4" w:tplc="8BF6F1F0">
      <w:start w:val="1"/>
      <w:numFmt w:val="bullet"/>
      <w:lvlText w:val="o"/>
      <w:lvlJc w:val="left"/>
      <w:pPr>
        <w:ind w:left="3600" w:hanging="360"/>
      </w:pPr>
      <w:rPr>
        <w:rFonts w:ascii="Courier New" w:hAnsi="Courier New" w:hint="default"/>
      </w:rPr>
    </w:lvl>
    <w:lvl w:ilvl="5" w:tplc="3AB46C8E">
      <w:start w:val="1"/>
      <w:numFmt w:val="bullet"/>
      <w:lvlText w:val=""/>
      <w:lvlJc w:val="left"/>
      <w:pPr>
        <w:ind w:left="4320" w:hanging="360"/>
      </w:pPr>
      <w:rPr>
        <w:rFonts w:ascii="Wingdings" w:hAnsi="Wingdings" w:hint="default"/>
      </w:rPr>
    </w:lvl>
    <w:lvl w:ilvl="6" w:tplc="E68AB8A0">
      <w:start w:val="1"/>
      <w:numFmt w:val="bullet"/>
      <w:lvlText w:val=""/>
      <w:lvlJc w:val="left"/>
      <w:pPr>
        <w:ind w:left="5040" w:hanging="360"/>
      </w:pPr>
      <w:rPr>
        <w:rFonts w:ascii="Symbol" w:hAnsi="Symbol" w:hint="default"/>
      </w:rPr>
    </w:lvl>
    <w:lvl w:ilvl="7" w:tplc="8BCEEEDE">
      <w:start w:val="1"/>
      <w:numFmt w:val="bullet"/>
      <w:lvlText w:val="o"/>
      <w:lvlJc w:val="left"/>
      <w:pPr>
        <w:ind w:left="5760" w:hanging="360"/>
      </w:pPr>
      <w:rPr>
        <w:rFonts w:ascii="Courier New" w:hAnsi="Courier New" w:hint="default"/>
      </w:rPr>
    </w:lvl>
    <w:lvl w:ilvl="8" w:tplc="6BD082A2">
      <w:start w:val="1"/>
      <w:numFmt w:val="bullet"/>
      <w:lvlText w:val=""/>
      <w:lvlJc w:val="left"/>
      <w:pPr>
        <w:ind w:left="6480" w:hanging="360"/>
      </w:pPr>
      <w:rPr>
        <w:rFonts w:ascii="Wingdings" w:hAnsi="Wingdings" w:hint="default"/>
      </w:rPr>
    </w:lvl>
  </w:abstractNum>
  <w:abstractNum w:abstractNumId="4" w15:restartNumberingAfterBreak="0">
    <w:nsid w:val="76446CB3"/>
    <w:multiLevelType w:val="hybridMultilevel"/>
    <w:tmpl w:val="CEA642AE"/>
    <w:lvl w:ilvl="0" w:tplc="59B2801C">
      <w:numFmt w:val="bullet"/>
      <w:lvlText w:val=""/>
      <w:lvlJc w:val="left"/>
      <w:pPr>
        <w:ind w:left="467" w:hanging="360"/>
      </w:pPr>
      <w:rPr>
        <w:rFonts w:ascii="Symbol" w:eastAsia="Symbol" w:hAnsi="Symbol" w:cs="Symbol" w:hint="default"/>
        <w:w w:val="99"/>
        <w:sz w:val="20"/>
        <w:szCs w:val="20"/>
        <w:lang w:val="en-US" w:eastAsia="en-US" w:bidi="en-US"/>
      </w:rPr>
    </w:lvl>
    <w:lvl w:ilvl="1" w:tplc="18E69006">
      <w:numFmt w:val="bullet"/>
      <w:lvlText w:val="•"/>
      <w:lvlJc w:val="left"/>
      <w:pPr>
        <w:ind w:left="926" w:hanging="360"/>
      </w:pPr>
      <w:rPr>
        <w:rFonts w:hint="default"/>
        <w:lang w:val="en-US" w:eastAsia="en-US" w:bidi="en-US"/>
      </w:rPr>
    </w:lvl>
    <w:lvl w:ilvl="2" w:tplc="DABC0BBA">
      <w:numFmt w:val="bullet"/>
      <w:lvlText w:val="•"/>
      <w:lvlJc w:val="left"/>
      <w:pPr>
        <w:ind w:left="1392" w:hanging="360"/>
      </w:pPr>
      <w:rPr>
        <w:rFonts w:hint="default"/>
        <w:lang w:val="en-US" w:eastAsia="en-US" w:bidi="en-US"/>
      </w:rPr>
    </w:lvl>
    <w:lvl w:ilvl="3" w:tplc="5C2672CE">
      <w:numFmt w:val="bullet"/>
      <w:lvlText w:val="•"/>
      <w:lvlJc w:val="left"/>
      <w:pPr>
        <w:ind w:left="1858" w:hanging="360"/>
      </w:pPr>
      <w:rPr>
        <w:rFonts w:hint="default"/>
        <w:lang w:val="en-US" w:eastAsia="en-US" w:bidi="en-US"/>
      </w:rPr>
    </w:lvl>
    <w:lvl w:ilvl="4" w:tplc="A81A5D1C">
      <w:numFmt w:val="bullet"/>
      <w:lvlText w:val="•"/>
      <w:lvlJc w:val="left"/>
      <w:pPr>
        <w:ind w:left="2324" w:hanging="360"/>
      </w:pPr>
      <w:rPr>
        <w:rFonts w:hint="default"/>
        <w:lang w:val="en-US" w:eastAsia="en-US" w:bidi="en-US"/>
      </w:rPr>
    </w:lvl>
    <w:lvl w:ilvl="5" w:tplc="5B5C40F8">
      <w:numFmt w:val="bullet"/>
      <w:lvlText w:val="•"/>
      <w:lvlJc w:val="left"/>
      <w:pPr>
        <w:ind w:left="2790" w:hanging="360"/>
      </w:pPr>
      <w:rPr>
        <w:rFonts w:hint="default"/>
        <w:lang w:val="en-US" w:eastAsia="en-US" w:bidi="en-US"/>
      </w:rPr>
    </w:lvl>
    <w:lvl w:ilvl="6" w:tplc="DCE4B614">
      <w:numFmt w:val="bullet"/>
      <w:lvlText w:val="•"/>
      <w:lvlJc w:val="left"/>
      <w:pPr>
        <w:ind w:left="3256" w:hanging="360"/>
      </w:pPr>
      <w:rPr>
        <w:rFonts w:hint="default"/>
        <w:lang w:val="en-US" w:eastAsia="en-US" w:bidi="en-US"/>
      </w:rPr>
    </w:lvl>
    <w:lvl w:ilvl="7" w:tplc="9F4CC4FE">
      <w:numFmt w:val="bullet"/>
      <w:lvlText w:val="•"/>
      <w:lvlJc w:val="left"/>
      <w:pPr>
        <w:ind w:left="3722" w:hanging="360"/>
      </w:pPr>
      <w:rPr>
        <w:rFonts w:hint="default"/>
        <w:lang w:val="en-US" w:eastAsia="en-US" w:bidi="en-US"/>
      </w:rPr>
    </w:lvl>
    <w:lvl w:ilvl="8" w:tplc="B92AEF1C">
      <w:numFmt w:val="bullet"/>
      <w:lvlText w:val="•"/>
      <w:lvlJc w:val="left"/>
      <w:pPr>
        <w:ind w:left="4188" w:hanging="360"/>
      </w:pPr>
      <w:rPr>
        <w:rFonts w:hint="default"/>
        <w:lang w:val="en-US" w:eastAsia="en-US" w:bidi="en-US"/>
      </w:rPr>
    </w:lvl>
  </w:abstractNum>
  <w:abstractNum w:abstractNumId="5" w15:restartNumberingAfterBreak="0">
    <w:nsid w:val="7BA77E31"/>
    <w:multiLevelType w:val="hybridMultilevel"/>
    <w:tmpl w:val="C354E410"/>
    <w:lvl w:ilvl="0" w:tplc="E03E483C">
      <w:numFmt w:val="bullet"/>
      <w:lvlText w:val=""/>
      <w:lvlJc w:val="left"/>
      <w:pPr>
        <w:ind w:left="465" w:hanging="360"/>
      </w:pPr>
      <w:rPr>
        <w:rFonts w:ascii="Symbol" w:eastAsia="Symbol" w:hAnsi="Symbol" w:cs="Symbol" w:hint="default"/>
        <w:w w:val="99"/>
        <w:sz w:val="20"/>
        <w:szCs w:val="20"/>
        <w:lang w:val="en-US" w:eastAsia="en-US" w:bidi="en-US"/>
      </w:rPr>
    </w:lvl>
    <w:lvl w:ilvl="1" w:tplc="85DCCD36">
      <w:numFmt w:val="bullet"/>
      <w:lvlText w:val="•"/>
      <w:lvlJc w:val="left"/>
      <w:pPr>
        <w:ind w:left="925" w:hanging="360"/>
      </w:pPr>
      <w:rPr>
        <w:rFonts w:hint="default"/>
        <w:lang w:val="en-US" w:eastAsia="en-US" w:bidi="en-US"/>
      </w:rPr>
    </w:lvl>
    <w:lvl w:ilvl="2" w:tplc="3C54D85C">
      <w:numFmt w:val="bullet"/>
      <w:lvlText w:val="•"/>
      <w:lvlJc w:val="left"/>
      <w:pPr>
        <w:ind w:left="1391" w:hanging="360"/>
      </w:pPr>
      <w:rPr>
        <w:rFonts w:hint="default"/>
        <w:lang w:val="en-US" w:eastAsia="en-US" w:bidi="en-US"/>
      </w:rPr>
    </w:lvl>
    <w:lvl w:ilvl="3" w:tplc="01429CF2">
      <w:numFmt w:val="bullet"/>
      <w:lvlText w:val="•"/>
      <w:lvlJc w:val="left"/>
      <w:pPr>
        <w:ind w:left="1857" w:hanging="360"/>
      </w:pPr>
      <w:rPr>
        <w:rFonts w:hint="default"/>
        <w:lang w:val="en-US" w:eastAsia="en-US" w:bidi="en-US"/>
      </w:rPr>
    </w:lvl>
    <w:lvl w:ilvl="4" w:tplc="6FF46A50">
      <w:numFmt w:val="bullet"/>
      <w:lvlText w:val="•"/>
      <w:lvlJc w:val="left"/>
      <w:pPr>
        <w:ind w:left="2323" w:hanging="360"/>
      </w:pPr>
      <w:rPr>
        <w:rFonts w:hint="default"/>
        <w:lang w:val="en-US" w:eastAsia="en-US" w:bidi="en-US"/>
      </w:rPr>
    </w:lvl>
    <w:lvl w:ilvl="5" w:tplc="E710CDEC">
      <w:numFmt w:val="bullet"/>
      <w:lvlText w:val="•"/>
      <w:lvlJc w:val="left"/>
      <w:pPr>
        <w:ind w:left="2789" w:hanging="360"/>
      </w:pPr>
      <w:rPr>
        <w:rFonts w:hint="default"/>
        <w:lang w:val="en-US" w:eastAsia="en-US" w:bidi="en-US"/>
      </w:rPr>
    </w:lvl>
    <w:lvl w:ilvl="6" w:tplc="4CC47C5A">
      <w:numFmt w:val="bullet"/>
      <w:lvlText w:val="•"/>
      <w:lvlJc w:val="left"/>
      <w:pPr>
        <w:ind w:left="3255" w:hanging="360"/>
      </w:pPr>
      <w:rPr>
        <w:rFonts w:hint="default"/>
        <w:lang w:val="en-US" w:eastAsia="en-US" w:bidi="en-US"/>
      </w:rPr>
    </w:lvl>
    <w:lvl w:ilvl="7" w:tplc="ED32560C">
      <w:numFmt w:val="bullet"/>
      <w:lvlText w:val="•"/>
      <w:lvlJc w:val="left"/>
      <w:pPr>
        <w:ind w:left="3721" w:hanging="360"/>
      </w:pPr>
      <w:rPr>
        <w:rFonts w:hint="default"/>
        <w:lang w:val="en-US" w:eastAsia="en-US" w:bidi="en-US"/>
      </w:rPr>
    </w:lvl>
    <w:lvl w:ilvl="8" w:tplc="94D2B4AE">
      <w:numFmt w:val="bullet"/>
      <w:lvlText w:val="•"/>
      <w:lvlJc w:val="left"/>
      <w:pPr>
        <w:ind w:left="4187" w:hanging="360"/>
      </w:pPr>
      <w:rPr>
        <w:rFonts w:hint="default"/>
        <w:lang w:val="en-US" w:eastAsia="en-US" w:bidi="en-US"/>
      </w:rPr>
    </w:lvl>
  </w:abstractNum>
  <w:abstractNum w:abstractNumId="6" w15:restartNumberingAfterBreak="0">
    <w:nsid w:val="7D6E3C2B"/>
    <w:multiLevelType w:val="hybridMultilevel"/>
    <w:tmpl w:val="D6260286"/>
    <w:lvl w:ilvl="0" w:tplc="33FE0704">
      <w:numFmt w:val="bullet"/>
      <w:lvlText w:val=""/>
      <w:lvlJc w:val="left"/>
      <w:pPr>
        <w:ind w:left="467" w:hanging="360"/>
      </w:pPr>
      <w:rPr>
        <w:rFonts w:ascii="Symbol" w:eastAsia="Symbol" w:hAnsi="Symbol" w:cs="Symbol" w:hint="default"/>
        <w:w w:val="99"/>
        <w:sz w:val="20"/>
        <w:szCs w:val="20"/>
        <w:lang w:val="en-US" w:eastAsia="en-US" w:bidi="en-US"/>
      </w:rPr>
    </w:lvl>
    <w:lvl w:ilvl="1" w:tplc="6442A18E">
      <w:numFmt w:val="bullet"/>
      <w:lvlText w:val="o"/>
      <w:lvlJc w:val="left"/>
      <w:pPr>
        <w:ind w:left="918" w:hanging="360"/>
      </w:pPr>
      <w:rPr>
        <w:rFonts w:ascii="Courier New" w:eastAsia="Courier New" w:hAnsi="Courier New" w:cs="Courier New" w:hint="default"/>
        <w:w w:val="99"/>
        <w:sz w:val="20"/>
        <w:szCs w:val="20"/>
        <w:lang w:val="en-US" w:eastAsia="en-US" w:bidi="en-US"/>
      </w:rPr>
    </w:lvl>
    <w:lvl w:ilvl="2" w:tplc="3A72ACC0">
      <w:numFmt w:val="bullet"/>
      <w:lvlText w:val="•"/>
      <w:lvlJc w:val="left"/>
      <w:pPr>
        <w:ind w:left="1386" w:hanging="360"/>
      </w:pPr>
      <w:rPr>
        <w:rFonts w:hint="default"/>
        <w:lang w:val="en-US" w:eastAsia="en-US" w:bidi="en-US"/>
      </w:rPr>
    </w:lvl>
    <w:lvl w:ilvl="3" w:tplc="DB364C94">
      <w:numFmt w:val="bullet"/>
      <w:lvlText w:val="•"/>
      <w:lvlJc w:val="left"/>
      <w:pPr>
        <w:ind w:left="1853" w:hanging="360"/>
      </w:pPr>
      <w:rPr>
        <w:rFonts w:hint="default"/>
        <w:lang w:val="en-US" w:eastAsia="en-US" w:bidi="en-US"/>
      </w:rPr>
    </w:lvl>
    <w:lvl w:ilvl="4" w:tplc="572CA08A">
      <w:numFmt w:val="bullet"/>
      <w:lvlText w:val="•"/>
      <w:lvlJc w:val="left"/>
      <w:pPr>
        <w:ind w:left="2320" w:hanging="360"/>
      </w:pPr>
      <w:rPr>
        <w:rFonts w:hint="default"/>
        <w:lang w:val="en-US" w:eastAsia="en-US" w:bidi="en-US"/>
      </w:rPr>
    </w:lvl>
    <w:lvl w:ilvl="5" w:tplc="6D280826">
      <w:numFmt w:val="bullet"/>
      <w:lvlText w:val="•"/>
      <w:lvlJc w:val="left"/>
      <w:pPr>
        <w:ind w:left="2787" w:hanging="360"/>
      </w:pPr>
      <w:rPr>
        <w:rFonts w:hint="default"/>
        <w:lang w:val="en-US" w:eastAsia="en-US" w:bidi="en-US"/>
      </w:rPr>
    </w:lvl>
    <w:lvl w:ilvl="6" w:tplc="17349014">
      <w:numFmt w:val="bullet"/>
      <w:lvlText w:val="•"/>
      <w:lvlJc w:val="left"/>
      <w:pPr>
        <w:ind w:left="3253" w:hanging="360"/>
      </w:pPr>
      <w:rPr>
        <w:rFonts w:hint="default"/>
        <w:lang w:val="en-US" w:eastAsia="en-US" w:bidi="en-US"/>
      </w:rPr>
    </w:lvl>
    <w:lvl w:ilvl="7" w:tplc="F90871B0">
      <w:numFmt w:val="bullet"/>
      <w:lvlText w:val="•"/>
      <w:lvlJc w:val="left"/>
      <w:pPr>
        <w:ind w:left="3720" w:hanging="360"/>
      </w:pPr>
      <w:rPr>
        <w:rFonts w:hint="default"/>
        <w:lang w:val="en-US" w:eastAsia="en-US" w:bidi="en-US"/>
      </w:rPr>
    </w:lvl>
    <w:lvl w:ilvl="8" w:tplc="FD8EFD34">
      <w:numFmt w:val="bullet"/>
      <w:lvlText w:val="•"/>
      <w:lvlJc w:val="left"/>
      <w:pPr>
        <w:ind w:left="4187" w:hanging="360"/>
      </w:pPr>
      <w:rPr>
        <w:rFonts w:hint="default"/>
        <w:lang w:val="en-US" w:eastAsia="en-US" w:bidi="en-US"/>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11"/>
    <w:rsid w:val="00025901"/>
    <w:rsid w:val="0007574C"/>
    <w:rsid w:val="00095CC9"/>
    <w:rsid w:val="000A6624"/>
    <w:rsid w:val="000D253E"/>
    <w:rsid w:val="000D7ECD"/>
    <w:rsid w:val="000E03D3"/>
    <w:rsid w:val="000E56AA"/>
    <w:rsid w:val="000F18AB"/>
    <w:rsid w:val="00105912"/>
    <w:rsid w:val="00106E88"/>
    <w:rsid w:val="0013410C"/>
    <w:rsid w:val="0013798B"/>
    <w:rsid w:val="00147A30"/>
    <w:rsid w:val="00154F5F"/>
    <w:rsid w:val="00185859"/>
    <w:rsid w:val="001B7413"/>
    <w:rsid w:val="0021764E"/>
    <w:rsid w:val="00260542"/>
    <w:rsid w:val="00271B58"/>
    <w:rsid w:val="00295B8D"/>
    <w:rsid w:val="002A184C"/>
    <w:rsid w:val="002A3C08"/>
    <w:rsid w:val="002B093D"/>
    <w:rsid w:val="003161C9"/>
    <w:rsid w:val="00337056"/>
    <w:rsid w:val="003821F8"/>
    <w:rsid w:val="00386320"/>
    <w:rsid w:val="00403486"/>
    <w:rsid w:val="004051A9"/>
    <w:rsid w:val="00413696"/>
    <w:rsid w:val="0041799B"/>
    <w:rsid w:val="0042002D"/>
    <w:rsid w:val="004343B4"/>
    <w:rsid w:val="00437876"/>
    <w:rsid w:val="00453003"/>
    <w:rsid w:val="0045500B"/>
    <w:rsid w:val="0048090F"/>
    <w:rsid w:val="0049295C"/>
    <w:rsid w:val="004E494C"/>
    <w:rsid w:val="004F6C97"/>
    <w:rsid w:val="00525495"/>
    <w:rsid w:val="005266FC"/>
    <w:rsid w:val="00526963"/>
    <w:rsid w:val="00531985"/>
    <w:rsid w:val="00544326"/>
    <w:rsid w:val="00564BD2"/>
    <w:rsid w:val="005677EC"/>
    <w:rsid w:val="0058025E"/>
    <w:rsid w:val="005C30CD"/>
    <w:rsid w:val="005D2DCA"/>
    <w:rsid w:val="005E2F76"/>
    <w:rsid w:val="00605B5E"/>
    <w:rsid w:val="006826D3"/>
    <w:rsid w:val="0068479F"/>
    <w:rsid w:val="00690F0A"/>
    <w:rsid w:val="006D2272"/>
    <w:rsid w:val="006F5BE7"/>
    <w:rsid w:val="00716AB4"/>
    <w:rsid w:val="007427D6"/>
    <w:rsid w:val="007455DA"/>
    <w:rsid w:val="007851ED"/>
    <w:rsid w:val="0079317C"/>
    <w:rsid w:val="007E7B13"/>
    <w:rsid w:val="007F3784"/>
    <w:rsid w:val="007F4EE6"/>
    <w:rsid w:val="007F7D0D"/>
    <w:rsid w:val="00841941"/>
    <w:rsid w:val="008437FA"/>
    <w:rsid w:val="008661F8"/>
    <w:rsid w:val="00867AA8"/>
    <w:rsid w:val="00895271"/>
    <w:rsid w:val="008E40CE"/>
    <w:rsid w:val="0092529C"/>
    <w:rsid w:val="00942028"/>
    <w:rsid w:val="00951A1B"/>
    <w:rsid w:val="009525A7"/>
    <w:rsid w:val="00974FB7"/>
    <w:rsid w:val="00981FB5"/>
    <w:rsid w:val="00984E5F"/>
    <w:rsid w:val="0099715E"/>
    <w:rsid w:val="009D5B27"/>
    <w:rsid w:val="009F7000"/>
    <w:rsid w:val="00A22E60"/>
    <w:rsid w:val="00A42603"/>
    <w:rsid w:val="00A530FD"/>
    <w:rsid w:val="00A978B8"/>
    <w:rsid w:val="00AC6AF0"/>
    <w:rsid w:val="00B03D52"/>
    <w:rsid w:val="00B23E7A"/>
    <w:rsid w:val="00B30146"/>
    <w:rsid w:val="00B57624"/>
    <w:rsid w:val="00BA18A1"/>
    <w:rsid w:val="00BA64DB"/>
    <w:rsid w:val="00BC1547"/>
    <w:rsid w:val="00C477F5"/>
    <w:rsid w:val="00C53711"/>
    <w:rsid w:val="00C60F72"/>
    <w:rsid w:val="00C67C7F"/>
    <w:rsid w:val="00CA182E"/>
    <w:rsid w:val="00CA4EC3"/>
    <w:rsid w:val="00CA7503"/>
    <w:rsid w:val="00CD4DC5"/>
    <w:rsid w:val="00CD6831"/>
    <w:rsid w:val="00CE17CD"/>
    <w:rsid w:val="00CE63D9"/>
    <w:rsid w:val="00D00FED"/>
    <w:rsid w:val="00D012B6"/>
    <w:rsid w:val="00D0484F"/>
    <w:rsid w:val="00D14BEA"/>
    <w:rsid w:val="00D31939"/>
    <w:rsid w:val="00D34F83"/>
    <w:rsid w:val="00D40259"/>
    <w:rsid w:val="00D51D6E"/>
    <w:rsid w:val="00D9616B"/>
    <w:rsid w:val="00DB0AA0"/>
    <w:rsid w:val="00DD73A2"/>
    <w:rsid w:val="00DE50F9"/>
    <w:rsid w:val="00DE757D"/>
    <w:rsid w:val="00DF2716"/>
    <w:rsid w:val="00E07BD4"/>
    <w:rsid w:val="00E07C7C"/>
    <w:rsid w:val="00E27B93"/>
    <w:rsid w:val="00E5643D"/>
    <w:rsid w:val="00E60295"/>
    <w:rsid w:val="00E7585F"/>
    <w:rsid w:val="00E8491F"/>
    <w:rsid w:val="00EB1FE1"/>
    <w:rsid w:val="00EC34B9"/>
    <w:rsid w:val="00EF6CBD"/>
    <w:rsid w:val="00F0030A"/>
    <w:rsid w:val="00F06268"/>
    <w:rsid w:val="00F2744D"/>
    <w:rsid w:val="00F33824"/>
    <w:rsid w:val="00F60520"/>
    <w:rsid w:val="00F732E2"/>
    <w:rsid w:val="00F95013"/>
    <w:rsid w:val="00FB029A"/>
    <w:rsid w:val="00FE5B87"/>
    <w:rsid w:val="00FE7C11"/>
    <w:rsid w:val="020D4D65"/>
    <w:rsid w:val="0409BCEC"/>
    <w:rsid w:val="088D16B1"/>
    <w:rsid w:val="0A4A4979"/>
    <w:rsid w:val="0B42E17E"/>
    <w:rsid w:val="0D37E5DC"/>
    <w:rsid w:val="0EEC7D15"/>
    <w:rsid w:val="11E3F6D1"/>
    <w:rsid w:val="17397744"/>
    <w:rsid w:val="198BB92E"/>
    <w:rsid w:val="1CE95EB0"/>
    <w:rsid w:val="20C7AFC3"/>
    <w:rsid w:val="24513F15"/>
    <w:rsid w:val="2AC31DE6"/>
    <w:rsid w:val="2C44C7E5"/>
    <w:rsid w:val="2EECC8FB"/>
    <w:rsid w:val="3131DBAC"/>
    <w:rsid w:val="316D8016"/>
    <w:rsid w:val="3A93152F"/>
    <w:rsid w:val="3C5B4F3D"/>
    <w:rsid w:val="3F419717"/>
    <w:rsid w:val="423ABA47"/>
    <w:rsid w:val="43522651"/>
    <w:rsid w:val="449EA416"/>
    <w:rsid w:val="47DF34FB"/>
    <w:rsid w:val="4E122847"/>
    <w:rsid w:val="4E7BA1E6"/>
    <w:rsid w:val="4EC5F5AA"/>
    <w:rsid w:val="4FC9CA36"/>
    <w:rsid w:val="527D70CD"/>
    <w:rsid w:val="52E8B8CA"/>
    <w:rsid w:val="54141FD7"/>
    <w:rsid w:val="55191EAE"/>
    <w:rsid w:val="55F945C5"/>
    <w:rsid w:val="56CBAA00"/>
    <w:rsid w:val="5783EDFD"/>
    <w:rsid w:val="58AF87F6"/>
    <w:rsid w:val="5D8DAE7E"/>
    <w:rsid w:val="6177CC50"/>
    <w:rsid w:val="61807360"/>
    <w:rsid w:val="67A1B23E"/>
    <w:rsid w:val="6A55B634"/>
    <w:rsid w:val="70AF8C90"/>
    <w:rsid w:val="70FD23F2"/>
    <w:rsid w:val="75B031BC"/>
    <w:rsid w:val="76C2AD10"/>
    <w:rsid w:val="791CB743"/>
    <w:rsid w:val="79AC8B36"/>
    <w:rsid w:val="7A6AECDB"/>
    <w:rsid w:val="7B05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85788"/>
  <w15:docId w15:val="{D9602965-93DB-4A99-AC94-84BA95D0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36"/>
      <w:szCs w:val="36"/>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3"/>
      <w:ind w:left="220"/>
    </w:pPr>
    <w:rPr>
      <w:sz w:val="18"/>
      <w:szCs w:val="18"/>
    </w:rPr>
  </w:style>
  <w:style w:type="paragraph" w:styleId="BodyText">
    <w:name w:val="Body Text"/>
    <w:basedOn w:val="Normal"/>
    <w:uiPriority w:val="1"/>
    <w:qFormat/>
  </w:style>
  <w:style w:type="paragraph" w:styleId="ListParagraph">
    <w:name w:val="List Paragraph"/>
    <w:basedOn w:val="Normal"/>
    <w:uiPriority w:val="1"/>
    <w:qFormat/>
    <w:pPr>
      <w:spacing w:before="39"/>
      <w:ind w:left="940"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684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9F"/>
    <w:rPr>
      <w:rFonts w:ascii="Segoe UI" w:eastAsia="Calibri" w:hAnsi="Segoe UI" w:cs="Segoe UI"/>
      <w:sz w:val="18"/>
      <w:szCs w:val="18"/>
      <w:lang w:bidi="en-US"/>
    </w:rPr>
  </w:style>
  <w:style w:type="character" w:styleId="Hyperlink">
    <w:name w:val="Hyperlink"/>
    <w:basedOn w:val="DefaultParagraphFont"/>
    <w:uiPriority w:val="99"/>
    <w:unhideWhenUsed/>
    <w:rsid w:val="00F33824"/>
    <w:rPr>
      <w:color w:val="0000FF" w:themeColor="hyperlink"/>
      <w:u w:val="single"/>
    </w:rPr>
  </w:style>
  <w:style w:type="character" w:styleId="UnresolvedMention">
    <w:name w:val="Unresolved Mention"/>
    <w:basedOn w:val="DefaultParagraphFont"/>
    <w:uiPriority w:val="99"/>
    <w:semiHidden/>
    <w:unhideWhenUsed/>
    <w:rsid w:val="00F33824"/>
    <w:rPr>
      <w:color w:val="605E5C"/>
      <w:shd w:val="clear" w:color="auto" w:fill="E1DFDD"/>
    </w:rPr>
  </w:style>
  <w:style w:type="paragraph" w:styleId="Header">
    <w:name w:val="header"/>
    <w:basedOn w:val="Normal"/>
    <w:link w:val="HeaderChar"/>
    <w:uiPriority w:val="99"/>
    <w:unhideWhenUsed/>
    <w:rsid w:val="00F33824"/>
    <w:pPr>
      <w:tabs>
        <w:tab w:val="center" w:pos="4680"/>
        <w:tab w:val="right" w:pos="9360"/>
      </w:tabs>
    </w:pPr>
  </w:style>
  <w:style w:type="character" w:customStyle="1" w:styleId="HeaderChar">
    <w:name w:val="Header Char"/>
    <w:basedOn w:val="DefaultParagraphFont"/>
    <w:link w:val="Header"/>
    <w:uiPriority w:val="99"/>
    <w:rsid w:val="00F33824"/>
    <w:rPr>
      <w:rFonts w:ascii="Calibri" w:eastAsia="Calibri" w:hAnsi="Calibri" w:cs="Calibri"/>
      <w:lang w:bidi="en-US"/>
    </w:rPr>
  </w:style>
  <w:style w:type="paragraph" w:styleId="Footer">
    <w:name w:val="footer"/>
    <w:basedOn w:val="Normal"/>
    <w:link w:val="FooterChar"/>
    <w:uiPriority w:val="99"/>
    <w:unhideWhenUsed/>
    <w:rsid w:val="00F33824"/>
    <w:pPr>
      <w:tabs>
        <w:tab w:val="center" w:pos="4680"/>
        <w:tab w:val="right" w:pos="9360"/>
      </w:tabs>
    </w:pPr>
  </w:style>
  <w:style w:type="character" w:customStyle="1" w:styleId="FooterChar">
    <w:name w:val="Footer Char"/>
    <w:basedOn w:val="DefaultParagraphFont"/>
    <w:link w:val="Footer"/>
    <w:uiPriority w:val="99"/>
    <w:rsid w:val="00F33824"/>
    <w:rPr>
      <w:rFonts w:ascii="Calibri" w:eastAsia="Calibri" w:hAnsi="Calibri" w:cs="Calibri"/>
      <w:lang w:bidi="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D6831"/>
    <w:rPr>
      <w:color w:val="800080" w:themeColor="followedHyperlink"/>
      <w:u w:val="single"/>
    </w:rPr>
  </w:style>
  <w:style w:type="paragraph" w:styleId="Revision">
    <w:name w:val="Revision"/>
    <w:hidden/>
    <w:uiPriority w:val="99"/>
    <w:semiHidden/>
    <w:rsid w:val="00526963"/>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ngandcompany.com/" TargetMode="External"/><Relationship Id="rId18" Type="http://schemas.openxmlformats.org/officeDocument/2006/relationships/hyperlink" Target="https://auth.disa.com/account/login"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isnetworld.com/" TargetMode="External"/><Relationship Id="rId17" Type="http://schemas.openxmlformats.org/officeDocument/2006/relationships/hyperlink" Target="https://refinerypass.com/collections/all-courses/region_north-dakot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sca.com/Courses/Search?searchStr=mandan" TargetMode="External"/><Relationship Id="rId20" Type="http://schemas.openxmlformats.org/officeDocument/2006/relationships/hyperlink" Target="https://urldefense.com/v3/__https:/refinerypass.com/pages/mandan-visitor-orientation__;!!KZqq5pzTuXXlyJ9BfQ!OWrppkRxhUjMO7Zy0DeIgNuzXxhPjweJ95BQrb5DVGedFiaAI3HDaCbJlVU_vpSzK9L5B5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sa.com" TargetMode="External"/><Relationship Id="rId22" Type="http://schemas.openxmlformats.org/officeDocument/2006/relationships/hyperlink" Target="https://forms.office.com/Pages/ResponsePage.aspx?id=zvRAFsaG8kSkdwa9OWF-l_hRlWGdr_dItX2tYdEOW-tURFJYRk5XWkI2WktKVzRWN00yTkg3V0s1OSQlQCN0PW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49342b53-cc6c-4cd8-bdb6-c123c0b11bf0" xsi:nil="true"/>
    <SharedWithUsers xmlns="52506cde-102a-4bc5-a2c8-b24c0ddf76b9">
      <UserInfo>
        <DisplayName>Preszler, Clark A</DisplayName>
        <AccountId>738</AccountId>
        <AccountType/>
      </UserInfo>
      <UserInfo>
        <DisplayName>Scheetz, Doug A</DisplayName>
        <AccountId>168</AccountId>
        <AccountType/>
      </UserInfo>
      <UserInfo>
        <DisplayName>Huber, John</DisplayName>
        <AccountId>4303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F16E8329DEC42BB87BE15A9C8D326" ma:contentTypeVersion="7" ma:contentTypeDescription="Create a new document." ma:contentTypeScope="" ma:versionID="2c7273e6ab3883a83d1f44b1a3860f10">
  <xsd:schema xmlns:xsd="http://www.w3.org/2001/XMLSchema" xmlns:xs="http://www.w3.org/2001/XMLSchema" xmlns:p="http://schemas.microsoft.com/office/2006/metadata/properties" xmlns:ns2="49342b53-cc6c-4cd8-bdb6-c123c0b11bf0" xmlns:ns3="52506cde-102a-4bc5-a2c8-b24c0ddf76b9" targetNamespace="http://schemas.microsoft.com/office/2006/metadata/properties" ma:root="true" ma:fieldsID="8119d383f34fc707359b4598423284ac" ns2:_="" ns3:_="">
    <xsd:import namespace="49342b53-cc6c-4cd8-bdb6-c123c0b11bf0"/>
    <xsd:import namespace="52506cde-102a-4bc5-a2c8-b24c0ddf76b9"/>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2b53-cc6c-4cd8-bdb6-c123c0b11bf0"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Video"/>
          <xsd:enumeration value="Workflow"/>
          <xsd:enumeration value="RSSI"/>
          <xsd:enumeration value="Guidance"/>
          <xsd:enumeration value="General Docu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06cde-102a-4bc5-a2c8-b24c0ddf76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7C3F1-77D4-48F8-B685-8765AAE645CD}">
  <ds:schemaRefs>
    <ds:schemaRef ds:uri="http://schemas.microsoft.com/office/2006/metadata/properties"/>
    <ds:schemaRef ds:uri="http://schemas.microsoft.com/office/infopath/2007/PartnerControls"/>
    <ds:schemaRef ds:uri="49342b53-cc6c-4cd8-bdb6-c123c0b11bf0"/>
    <ds:schemaRef ds:uri="52506cde-102a-4bc5-a2c8-b24c0ddf76b9"/>
  </ds:schemaRefs>
</ds:datastoreItem>
</file>

<file path=customXml/itemProps2.xml><?xml version="1.0" encoding="utf-8"?>
<ds:datastoreItem xmlns:ds="http://schemas.openxmlformats.org/officeDocument/2006/customXml" ds:itemID="{D4FF5727-5CDC-4E35-9A34-50ED1C236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2b53-cc6c-4cd8-bdb6-c123c0b11bf0"/>
    <ds:schemaRef ds:uri="52506cde-102a-4bc5-a2c8-b24c0ddf7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BE03C-F917-48EF-9046-89C1DC189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3272</Words>
  <Characters>18652</Characters>
  <Application>Microsoft Office Word</Application>
  <DocSecurity>0</DocSecurity>
  <Lines>155</Lines>
  <Paragraphs>43</Paragraphs>
  <ScaleCrop>false</ScaleCrop>
  <Company/>
  <LinksUpToDate>false</LinksUpToDate>
  <CharactersWithSpaces>21881</CharactersWithSpaces>
  <SharedDoc>false</SharedDoc>
  <HLinks>
    <vt:vector size="168" baseType="variant">
      <vt:variant>
        <vt:i4>524295</vt:i4>
      </vt:variant>
      <vt:variant>
        <vt:i4>144</vt:i4>
      </vt:variant>
      <vt:variant>
        <vt:i4>0</vt:i4>
      </vt:variant>
      <vt:variant>
        <vt:i4>5</vt:i4>
      </vt:variant>
      <vt:variant>
        <vt:lpwstr>https://forms.office.com/Pages/ResponsePage.aspx?id=zvRAFsaG8kSkdwa9OWF-l_g_HdIcsh9Pja2ZbJhSlT1UNkVZS1VTNFM5MEdGV0Y0N1QzV1dMSUg4MC4u</vt:lpwstr>
      </vt:variant>
      <vt:variant>
        <vt:lpwstr/>
      </vt:variant>
      <vt:variant>
        <vt:i4>6422559</vt:i4>
      </vt:variant>
      <vt:variant>
        <vt:i4>141</vt:i4>
      </vt:variant>
      <vt:variant>
        <vt:i4>0</vt:i4>
      </vt:variant>
      <vt:variant>
        <vt:i4>5</vt:i4>
      </vt:variant>
      <vt:variant>
        <vt:lpwstr>https://urldefense.com/v3/__https:/refinerypass.com/pages/mandan-visitor-orientation__;!!KZqq5pzTuXXlyJ9BfQ!OWrppkRxhUjMO7Zy0DeIgNuzXxhPjweJ95BQrb5DVGedFiaAI3HDaCbJlVU_vpSzK9L5B5Nt$</vt:lpwstr>
      </vt:variant>
      <vt:variant>
        <vt:lpwstr/>
      </vt:variant>
      <vt:variant>
        <vt:i4>4063349</vt:i4>
      </vt:variant>
      <vt:variant>
        <vt:i4>138</vt:i4>
      </vt:variant>
      <vt:variant>
        <vt:i4>0</vt:i4>
      </vt:variant>
      <vt:variant>
        <vt:i4>5</vt:i4>
      </vt:variant>
      <vt:variant>
        <vt:lpwstr>https://auth.disa.com/account/login</vt:lpwstr>
      </vt:variant>
      <vt:variant>
        <vt:lpwstr/>
      </vt:variant>
      <vt:variant>
        <vt:i4>7864342</vt:i4>
      </vt:variant>
      <vt:variant>
        <vt:i4>135</vt:i4>
      </vt:variant>
      <vt:variant>
        <vt:i4>0</vt:i4>
      </vt:variant>
      <vt:variant>
        <vt:i4>5</vt:i4>
      </vt:variant>
      <vt:variant>
        <vt:lpwstr>https://refinerypass.com/collections/all-courses/region_north-dakota</vt:lpwstr>
      </vt:variant>
      <vt:variant>
        <vt:lpwstr/>
      </vt:variant>
      <vt:variant>
        <vt:i4>5308440</vt:i4>
      </vt:variant>
      <vt:variant>
        <vt:i4>132</vt:i4>
      </vt:variant>
      <vt:variant>
        <vt:i4>0</vt:i4>
      </vt:variant>
      <vt:variant>
        <vt:i4>5</vt:i4>
      </vt:variant>
      <vt:variant>
        <vt:lpwstr>https://www.osca.com/Courses/Search?searchStr=mandan</vt:lpwstr>
      </vt:variant>
      <vt:variant>
        <vt:lpwstr/>
      </vt:variant>
      <vt:variant>
        <vt:i4>5374038</vt:i4>
      </vt:variant>
      <vt:variant>
        <vt:i4>129</vt:i4>
      </vt:variant>
      <vt:variant>
        <vt:i4>0</vt:i4>
      </vt:variant>
      <vt:variant>
        <vt:i4>5</vt:i4>
      </vt:variant>
      <vt:variant>
        <vt:lpwstr>http://www.disa.com/</vt:lpwstr>
      </vt:variant>
      <vt:variant>
        <vt:lpwstr/>
      </vt:variant>
      <vt:variant>
        <vt:i4>2818080</vt:i4>
      </vt:variant>
      <vt:variant>
        <vt:i4>126</vt:i4>
      </vt:variant>
      <vt:variant>
        <vt:i4>0</vt:i4>
      </vt:variant>
      <vt:variant>
        <vt:i4>5</vt:i4>
      </vt:variant>
      <vt:variant>
        <vt:lpwstr>http://www.tangandcompany.com/</vt:lpwstr>
      </vt:variant>
      <vt:variant>
        <vt:lpwstr/>
      </vt:variant>
      <vt:variant>
        <vt:i4>3211377</vt:i4>
      </vt:variant>
      <vt:variant>
        <vt:i4>123</vt:i4>
      </vt:variant>
      <vt:variant>
        <vt:i4>0</vt:i4>
      </vt:variant>
      <vt:variant>
        <vt:i4>5</vt:i4>
      </vt:variant>
      <vt:variant>
        <vt:lpwstr>https://www.isnetworld.com/</vt:lpwstr>
      </vt:variant>
      <vt:variant>
        <vt:lpwstr/>
      </vt:variant>
      <vt:variant>
        <vt:i4>1441852</vt:i4>
      </vt:variant>
      <vt:variant>
        <vt:i4>116</vt:i4>
      </vt:variant>
      <vt:variant>
        <vt:i4>0</vt:i4>
      </vt:variant>
      <vt:variant>
        <vt:i4>5</vt:i4>
      </vt:variant>
      <vt:variant>
        <vt:lpwstr/>
      </vt:variant>
      <vt:variant>
        <vt:lpwstr>_Toc62558771</vt:lpwstr>
      </vt:variant>
      <vt:variant>
        <vt:i4>1507388</vt:i4>
      </vt:variant>
      <vt:variant>
        <vt:i4>110</vt:i4>
      </vt:variant>
      <vt:variant>
        <vt:i4>0</vt:i4>
      </vt:variant>
      <vt:variant>
        <vt:i4>5</vt:i4>
      </vt:variant>
      <vt:variant>
        <vt:lpwstr/>
      </vt:variant>
      <vt:variant>
        <vt:lpwstr>_Toc62558770</vt:lpwstr>
      </vt:variant>
      <vt:variant>
        <vt:i4>1966141</vt:i4>
      </vt:variant>
      <vt:variant>
        <vt:i4>104</vt:i4>
      </vt:variant>
      <vt:variant>
        <vt:i4>0</vt:i4>
      </vt:variant>
      <vt:variant>
        <vt:i4>5</vt:i4>
      </vt:variant>
      <vt:variant>
        <vt:lpwstr/>
      </vt:variant>
      <vt:variant>
        <vt:lpwstr>_Toc62558769</vt:lpwstr>
      </vt:variant>
      <vt:variant>
        <vt:i4>2031677</vt:i4>
      </vt:variant>
      <vt:variant>
        <vt:i4>98</vt:i4>
      </vt:variant>
      <vt:variant>
        <vt:i4>0</vt:i4>
      </vt:variant>
      <vt:variant>
        <vt:i4>5</vt:i4>
      </vt:variant>
      <vt:variant>
        <vt:lpwstr/>
      </vt:variant>
      <vt:variant>
        <vt:lpwstr>_Toc62558768</vt:lpwstr>
      </vt:variant>
      <vt:variant>
        <vt:i4>1048637</vt:i4>
      </vt:variant>
      <vt:variant>
        <vt:i4>92</vt:i4>
      </vt:variant>
      <vt:variant>
        <vt:i4>0</vt:i4>
      </vt:variant>
      <vt:variant>
        <vt:i4>5</vt:i4>
      </vt:variant>
      <vt:variant>
        <vt:lpwstr/>
      </vt:variant>
      <vt:variant>
        <vt:lpwstr>_Toc62558767</vt:lpwstr>
      </vt:variant>
      <vt:variant>
        <vt:i4>1114173</vt:i4>
      </vt:variant>
      <vt:variant>
        <vt:i4>86</vt:i4>
      </vt:variant>
      <vt:variant>
        <vt:i4>0</vt:i4>
      </vt:variant>
      <vt:variant>
        <vt:i4>5</vt:i4>
      </vt:variant>
      <vt:variant>
        <vt:lpwstr/>
      </vt:variant>
      <vt:variant>
        <vt:lpwstr>_Toc62558766</vt:lpwstr>
      </vt:variant>
      <vt:variant>
        <vt:i4>1179709</vt:i4>
      </vt:variant>
      <vt:variant>
        <vt:i4>80</vt:i4>
      </vt:variant>
      <vt:variant>
        <vt:i4>0</vt:i4>
      </vt:variant>
      <vt:variant>
        <vt:i4>5</vt:i4>
      </vt:variant>
      <vt:variant>
        <vt:lpwstr/>
      </vt:variant>
      <vt:variant>
        <vt:lpwstr>_Toc62558765</vt:lpwstr>
      </vt:variant>
      <vt:variant>
        <vt:i4>1245245</vt:i4>
      </vt:variant>
      <vt:variant>
        <vt:i4>74</vt:i4>
      </vt:variant>
      <vt:variant>
        <vt:i4>0</vt:i4>
      </vt:variant>
      <vt:variant>
        <vt:i4>5</vt:i4>
      </vt:variant>
      <vt:variant>
        <vt:lpwstr/>
      </vt:variant>
      <vt:variant>
        <vt:lpwstr>_Toc62558764</vt:lpwstr>
      </vt:variant>
      <vt:variant>
        <vt:i4>1310781</vt:i4>
      </vt:variant>
      <vt:variant>
        <vt:i4>68</vt:i4>
      </vt:variant>
      <vt:variant>
        <vt:i4>0</vt:i4>
      </vt:variant>
      <vt:variant>
        <vt:i4>5</vt:i4>
      </vt:variant>
      <vt:variant>
        <vt:lpwstr/>
      </vt:variant>
      <vt:variant>
        <vt:lpwstr>_Toc62558763</vt:lpwstr>
      </vt:variant>
      <vt:variant>
        <vt:i4>1376317</vt:i4>
      </vt:variant>
      <vt:variant>
        <vt:i4>62</vt:i4>
      </vt:variant>
      <vt:variant>
        <vt:i4>0</vt:i4>
      </vt:variant>
      <vt:variant>
        <vt:i4>5</vt:i4>
      </vt:variant>
      <vt:variant>
        <vt:lpwstr/>
      </vt:variant>
      <vt:variant>
        <vt:lpwstr>_Toc62558762</vt:lpwstr>
      </vt:variant>
      <vt:variant>
        <vt:i4>1441853</vt:i4>
      </vt:variant>
      <vt:variant>
        <vt:i4>56</vt:i4>
      </vt:variant>
      <vt:variant>
        <vt:i4>0</vt:i4>
      </vt:variant>
      <vt:variant>
        <vt:i4>5</vt:i4>
      </vt:variant>
      <vt:variant>
        <vt:lpwstr/>
      </vt:variant>
      <vt:variant>
        <vt:lpwstr>_Toc62558761</vt:lpwstr>
      </vt:variant>
      <vt:variant>
        <vt:i4>1507389</vt:i4>
      </vt:variant>
      <vt:variant>
        <vt:i4>50</vt:i4>
      </vt:variant>
      <vt:variant>
        <vt:i4>0</vt:i4>
      </vt:variant>
      <vt:variant>
        <vt:i4>5</vt:i4>
      </vt:variant>
      <vt:variant>
        <vt:lpwstr/>
      </vt:variant>
      <vt:variant>
        <vt:lpwstr>_Toc62558760</vt:lpwstr>
      </vt:variant>
      <vt:variant>
        <vt:i4>1966142</vt:i4>
      </vt:variant>
      <vt:variant>
        <vt:i4>44</vt:i4>
      </vt:variant>
      <vt:variant>
        <vt:i4>0</vt:i4>
      </vt:variant>
      <vt:variant>
        <vt:i4>5</vt:i4>
      </vt:variant>
      <vt:variant>
        <vt:lpwstr/>
      </vt:variant>
      <vt:variant>
        <vt:lpwstr>_Toc62558759</vt:lpwstr>
      </vt:variant>
      <vt:variant>
        <vt:i4>2031678</vt:i4>
      </vt:variant>
      <vt:variant>
        <vt:i4>38</vt:i4>
      </vt:variant>
      <vt:variant>
        <vt:i4>0</vt:i4>
      </vt:variant>
      <vt:variant>
        <vt:i4>5</vt:i4>
      </vt:variant>
      <vt:variant>
        <vt:lpwstr/>
      </vt:variant>
      <vt:variant>
        <vt:lpwstr>_Toc62558758</vt:lpwstr>
      </vt:variant>
      <vt:variant>
        <vt:i4>1048638</vt:i4>
      </vt:variant>
      <vt:variant>
        <vt:i4>32</vt:i4>
      </vt:variant>
      <vt:variant>
        <vt:i4>0</vt:i4>
      </vt:variant>
      <vt:variant>
        <vt:i4>5</vt:i4>
      </vt:variant>
      <vt:variant>
        <vt:lpwstr/>
      </vt:variant>
      <vt:variant>
        <vt:lpwstr>_Toc62558757</vt:lpwstr>
      </vt:variant>
      <vt:variant>
        <vt:i4>1114174</vt:i4>
      </vt:variant>
      <vt:variant>
        <vt:i4>26</vt:i4>
      </vt:variant>
      <vt:variant>
        <vt:i4>0</vt:i4>
      </vt:variant>
      <vt:variant>
        <vt:i4>5</vt:i4>
      </vt:variant>
      <vt:variant>
        <vt:lpwstr/>
      </vt:variant>
      <vt:variant>
        <vt:lpwstr>_Toc62558756</vt:lpwstr>
      </vt:variant>
      <vt:variant>
        <vt:i4>1179710</vt:i4>
      </vt:variant>
      <vt:variant>
        <vt:i4>20</vt:i4>
      </vt:variant>
      <vt:variant>
        <vt:i4>0</vt:i4>
      </vt:variant>
      <vt:variant>
        <vt:i4>5</vt:i4>
      </vt:variant>
      <vt:variant>
        <vt:lpwstr/>
      </vt:variant>
      <vt:variant>
        <vt:lpwstr>_Toc62558755</vt:lpwstr>
      </vt:variant>
      <vt:variant>
        <vt:i4>1245246</vt:i4>
      </vt:variant>
      <vt:variant>
        <vt:i4>14</vt:i4>
      </vt:variant>
      <vt:variant>
        <vt:i4>0</vt:i4>
      </vt:variant>
      <vt:variant>
        <vt:i4>5</vt:i4>
      </vt:variant>
      <vt:variant>
        <vt:lpwstr/>
      </vt:variant>
      <vt:variant>
        <vt:lpwstr>_Toc62558754</vt:lpwstr>
      </vt:variant>
      <vt:variant>
        <vt:i4>1310782</vt:i4>
      </vt:variant>
      <vt:variant>
        <vt:i4>8</vt:i4>
      </vt:variant>
      <vt:variant>
        <vt:i4>0</vt:i4>
      </vt:variant>
      <vt:variant>
        <vt:i4>5</vt:i4>
      </vt:variant>
      <vt:variant>
        <vt:lpwstr/>
      </vt:variant>
      <vt:variant>
        <vt:lpwstr>_Toc62558753</vt:lpwstr>
      </vt:variant>
      <vt:variant>
        <vt:i4>1376318</vt:i4>
      </vt:variant>
      <vt:variant>
        <vt:i4>2</vt:i4>
      </vt:variant>
      <vt:variant>
        <vt:i4>0</vt:i4>
      </vt:variant>
      <vt:variant>
        <vt:i4>5</vt:i4>
      </vt:variant>
      <vt:variant>
        <vt:lpwstr/>
      </vt:variant>
      <vt:variant>
        <vt:lpwstr>_Toc62558752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pintogs</dc:creator>
  <cp:lastModifiedBy>Preszler, Clark A</cp:lastModifiedBy>
  <cp:revision>63</cp:revision>
  <dcterms:created xsi:type="dcterms:W3CDTF">2020-06-02T00:17:00Z</dcterms:created>
  <dcterms:modified xsi:type="dcterms:W3CDTF">2021-02-17T14:28:00Z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Acrobat PDFMaker 11 for Word</vt:lpwstr>
  </property>
  <property fmtid="{D5CDD505-2E9C-101B-9397-08002B2CF9AE}" pid="4" name="LastSaved">
    <vt:filetime>2019-11-06T00:00:00Z</vt:filetime>
  </property>
  <property fmtid="{D5CDD505-2E9C-101B-9397-08002B2CF9AE}" pid="5" name="ContentTypeId">
    <vt:lpwstr>0x0101009B2F16E8329DEC42BB87BE15A9C8D326</vt:lpwstr>
  </property>
</Properties>
</file>